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17F1" w14:textId="77777777" w:rsidR="00D5010B" w:rsidRDefault="00D5010B" w:rsidP="00AD718D">
      <w:pPr>
        <w:spacing w:after="0" w:line="249" w:lineRule="auto"/>
        <w:rPr>
          <w:rFonts w:ascii="Times New Roman" w:hAnsi="Times New Roman" w:cs="Times New Roman"/>
          <w:bCs/>
          <w:sz w:val="24"/>
          <w:szCs w:val="24"/>
        </w:rPr>
      </w:pPr>
    </w:p>
    <w:p w14:paraId="5FCED756" w14:textId="457ACE34" w:rsidR="00983542" w:rsidRPr="001E29AF" w:rsidRDefault="00D5010B" w:rsidP="00AD718D">
      <w:pPr>
        <w:spacing w:after="0" w:line="249" w:lineRule="auto"/>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8240" behindDoc="1" locked="0" layoutInCell="1" allowOverlap="1" wp14:anchorId="19BD0451" wp14:editId="4FE537F3">
            <wp:simplePos x="0" y="0"/>
            <wp:positionH relativeFrom="margin">
              <wp:posOffset>2762250</wp:posOffset>
            </wp:positionH>
            <wp:positionV relativeFrom="page">
              <wp:posOffset>1962150</wp:posOffset>
            </wp:positionV>
            <wp:extent cx="361950" cy="314325"/>
            <wp:effectExtent l="0" t="0" r="0" b="9525"/>
            <wp:wrapTight wrapText="bothSides">
              <wp:wrapPolygon edited="0">
                <wp:start x="0" y="0"/>
                <wp:lineTo x="0" y="20945"/>
                <wp:lineTo x="20463" y="20945"/>
                <wp:lineTo x="20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jpg"/>
                    <pic:cNvPicPr/>
                  </pic:nvPicPr>
                  <pic:blipFill rotWithShape="1">
                    <a:blip r:embed="rId8" cstate="print">
                      <a:extLst>
                        <a:ext uri="{28A0092B-C50C-407E-A947-70E740481C1C}">
                          <a14:useLocalDpi xmlns:a14="http://schemas.microsoft.com/office/drawing/2010/main" val="0"/>
                        </a:ext>
                      </a:extLst>
                    </a:blip>
                    <a:srcRect l="31653" t="13253" r="27139" b="14458"/>
                    <a:stretch/>
                  </pic:blipFill>
                  <pic:spPr bwMode="auto">
                    <a:xfrm>
                      <a:off x="0" y="0"/>
                      <a:ext cx="361950"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2549" w:rsidRPr="00742549">
        <w:rPr>
          <w:rFonts w:ascii="Times New Roman" w:hAnsi="Times New Roman" w:cs="Times New Roman"/>
          <w:bCs/>
          <w:sz w:val="24"/>
          <w:szCs w:val="24"/>
        </w:rPr>
        <w:t xml:space="preserve">To All Members of the Council -You are hereby summoned to attend the meeting of Islip Parish Council </w:t>
      </w:r>
      <w:r w:rsidR="00307E89">
        <w:rPr>
          <w:rFonts w:ascii="Times New Roman" w:hAnsi="Times New Roman" w:cs="Times New Roman"/>
          <w:bCs/>
          <w:sz w:val="24"/>
          <w:szCs w:val="24"/>
        </w:rPr>
        <w:t xml:space="preserve">at the </w:t>
      </w:r>
      <w:r w:rsidR="000916EC" w:rsidRPr="00D95EA7">
        <w:rPr>
          <w:rFonts w:ascii="Times New Roman" w:hAnsi="Times New Roman" w:cs="Times New Roman"/>
          <w:b/>
          <w:sz w:val="24"/>
          <w:szCs w:val="24"/>
        </w:rPr>
        <w:t>Village Hall</w:t>
      </w:r>
      <w:r w:rsidR="00D95EA7">
        <w:rPr>
          <w:rFonts w:ascii="Times New Roman" w:hAnsi="Times New Roman" w:cs="Times New Roman"/>
          <w:b/>
          <w:sz w:val="24"/>
          <w:szCs w:val="24"/>
        </w:rPr>
        <w:t>*</w:t>
      </w:r>
      <w:r w:rsidR="000916EC">
        <w:rPr>
          <w:rFonts w:ascii="Times New Roman" w:hAnsi="Times New Roman" w:cs="Times New Roman"/>
          <w:bCs/>
          <w:sz w:val="24"/>
          <w:szCs w:val="24"/>
        </w:rPr>
        <w:t>,</w:t>
      </w:r>
      <w:r w:rsidR="00307E89">
        <w:rPr>
          <w:rFonts w:ascii="Times New Roman" w:hAnsi="Times New Roman" w:cs="Times New Roman"/>
          <w:bCs/>
          <w:sz w:val="24"/>
          <w:szCs w:val="24"/>
        </w:rPr>
        <w:t xml:space="preserve"> Islip </w:t>
      </w:r>
      <w:r w:rsidR="00742549" w:rsidRPr="00742549">
        <w:rPr>
          <w:rFonts w:ascii="Times New Roman" w:hAnsi="Times New Roman" w:cs="Times New Roman"/>
          <w:bCs/>
          <w:sz w:val="24"/>
          <w:szCs w:val="24"/>
        </w:rPr>
        <w:t xml:space="preserve">on </w:t>
      </w:r>
      <w:r w:rsidR="000916EC">
        <w:rPr>
          <w:rFonts w:ascii="Times New Roman" w:hAnsi="Times New Roman" w:cs="Times New Roman"/>
          <w:bCs/>
          <w:sz w:val="24"/>
          <w:szCs w:val="24"/>
        </w:rPr>
        <w:t>16</w:t>
      </w:r>
      <w:r w:rsidR="000916EC" w:rsidRPr="000916EC">
        <w:rPr>
          <w:rFonts w:ascii="Times New Roman" w:hAnsi="Times New Roman" w:cs="Times New Roman"/>
          <w:bCs/>
          <w:sz w:val="24"/>
          <w:szCs w:val="24"/>
          <w:vertAlign w:val="superscript"/>
        </w:rPr>
        <w:t>th</w:t>
      </w:r>
      <w:r w:rsidR="000916EC">
        <w:rPr>
          <w:rFonts w:ascii="Times New Roman" w:hAnsi="Times New Roman" w:cs="Times New Roman"/>
          <w:bCs/>
          <w:sz w:val="24"/>
          <w:szCs w:val="24"/>
        </w:rPr>
        <w:t xml:space="preserve"> November</w:t>
      </w:r>
      <w:r w:rsidR="00E71919">
        <w:rPr>
          <w:rFonts w:ascii="Times New Roman" w:hAnsi="Times New Roman" w:cs="Times New Roman"/>
          <w:bCs/>
          <w:sz w:val="24"/>
          <w:szCs w:val="24"/>
        </w:rPr>
        <w:t xml:space="preserve"> 2</w:t>
      </w:r>
      <w:r w:rsidR="00742549" w:rsidRPr="00742549">
        <w:rPr>
          <w:rFonts w:ascii="Times New Roman" w:hAnsi="Times New Roman" w:cs="Times New Roman"/>
          <w:bCs/>
          <w:sz w:val="24"/>
          <w:szCs w:val="24"/>
        </w:rPr>
        <w:t>0</w:t>
      </w:r>
      <w:r w:rsidR="00E71919">
        <w:rPr>
          <w:rFonts w:ascii="Times New Roman" w:hAnsi="Times New Roman" w:cs="Times New Roman"/>
          <w:bCs/>
          <w:sz w:val="24"/>
          <w:szCs w:val="24"/>
        </w:rPr>
        <w:t>21</w:t>
      </w:r>
      <w:r w:rsidR="00742549" w:rsidRPr="00742549">
        <w:rPr>
          <w:rFonts w:ascii="Times New Roman" w:hAnsi="Times New Roman" w:cs="Times New Roman"/>
          <w:bCs/>
          <w:sz w:val="24"/>
          <w:szCs w:val="24"/>
        </w:rPr>
        <w:t xml:space="preserve"> at 7.15pm for the purpose of transacting the following business-signed Claire Tilley- Parish Clerk</w:t>
      </w:r>
      <w:r w:rsidR="00D95EA7">
        <w:rPr>
          <w:rFonts w:ascii="Times New Roman" w:hAnsi="Times New Roman" w:cs="Times New Roman"/>
          <w:bCs/>
          <w:sz w:val="24"/>
          <w:szCs w:val="24"/>
        </w:rPr>
        <w:t xml:space="preserve">  </w:t>
      </w:r>
      <w:r w:rsidR="00D95EA7" w:rsidRPr="00D95EA7">
        <w:rPr>
          <w:rFonts w:ascii="Times New Roman" w:hAnsi="Times New Roman" w:cs="Times New Roman"/>
          <w:bCs/>
          <w:sz w:val="18"/>
          <w:szCs w:val="18"/>
        </w:rPr>
        <w:t xml:space="preserve"> </w:t>
      </w:r>
      <w:r w:rsidR="00D95EA7">
        <w:rPr>
          <w:rFonts w:ascii="Times New Roman" w:hAnsi="Times New Roman" w:cs="Times New Roman"/>
          <w:bCs/>
          <w:sz w:val="18"/>
          <w:szCs w:val="18"/>
        </w:rPr>
        <w:t>*</w:t>
      </w:r>
      <w:r w:rsidR="00D95EA7" w:rsidRPr="00D95EA7">
        <w:rPr>
          <w:rFonts w:ascii="Times New Roman" w:hAnsi="Times New Roman" w:cs="Times New Roman"/>
          <w:bCs/>
          <w:sz w:val="18"/>
          <w:szCs w:val="18"/>
        </w:rPr>
        <w:t>Change of venue</w:t>
      </w:r>
    </w:p>
    <w:p w14:paraId="07CD443E" w14:textId="77777777" w:rsidR="0053277A" w:rsidRDefault="0053277A" w:rsidP="00AD718D">
      <w:pPr>
        <w:spacing w:after="0" w:line="249" w:lineRule="auto"/>
        <w:rPr>
          <w:rFonts w:ascii="Times New Roman" w:hAnsi="Times New Roman" w:cs="Times New Roman"/>
          <w:bCs/>
        </w:rPr>
      </w:pPr>
    </w:p>
    <w:p w14:paraId="04D5C9F1" w14:textId="66C40CDE" w:rsidR="00C278FE" w:rsidRPr="00983542" w:rsidRDefault="00742549" w:rsidP="00742549">
      <w:pPr>
        <w:spacing w:after="0" w:line="249" w:lineRule="auto"/>
        <w:ind w:left="3600" w:firstLine="720"/>
        <w:rPr>
          <w:rFonts w:ascii="Times New Roman" w:hAnsi="Times New Roman" w:cs="Times New Roman"/>
          <w:b/>
          <w:sz w:val="28"/>
          <w:szCs w:val="28"/>
          <w:u w:val="single"/>
        </w:rPr>
      </w:pPr>
      <w:r w:rsidRPr="00983542">
        <w:rPr>
          <w:rFonts w:ascii="Times New Roman" w:hAnsi="Times New Roman" w:cs="Times New Roman"/>
          <w:b/>
          <w:sz w:val="28"/>
          <w:szCs w:val="28"/>
          <w:u w:val="single"/>
        </w:rPr>
        <w:t>Agenda</w:t>
      </w:r>
    </w:p>
    <w:p w14:paraId="3DFBB345" w14:textId="77777777" w:rsidR="00C278FE" w:rsidRPr="00AA4475" w:rsidRDefault="00C278FE" w:rsidP="00C278FE">
      <w:pPr>
        <w:spacing w:after="0" w:line="249" w:lineRule="auto"/>
        <w:jc w:val="center"/>
        <w:rPr>
          <w:rFonts w:ascii="Times New Roman" w:hAnsi="Times New Roman" w:cs="Times New Roman"/>
          <w:sz w:val="24"/>
          <w:szCs w:val="24"/>
        </w:rPr>
      </w:pPr>
    </w:p>
    <w:p w14:paraId="1ECC0675" w14:textId="14B7265F" w:rsidR="005523B6" w:rsidRPr="00155563" w:rsidRDefault="004D26DC" w:rsidP="000916EC">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160138" w:rsidRPr="00160138">
        <w:rPr>
          <w:rFonts w:ascii="Times New Roman" w:eastAsia="Times New Roman" w:hAnsi="Times New Roman" w:cs="Times New Roman"/>
          <w:b/>
          <w:color w:val="auto"/>
          <w:sz w:val="24"/>
          <w:szCs w:val="24"/>
          <w:lang w:eastAsia="en-US"/>
        </w:rPr>
        <w:t>Public Session</w:t>
      </w:r>
      <w:r w:rsidR="00160138">
        <w:rPr>
          <w:rFonts w:ascii="Times New Roman" w:eastAsia="Times New Roman" w:hAnsi="Times New Roman" w:cs="Times New Roman"/>
          <w:bCs/>
          <w:color w:val="auto"/>
          <w:sz w:val="24"/>
          <w:szCs w:val="24"/>
          <w:lang w:eastAsia="en-US"/>
        </w:rPr>
        <w:t xml:space="preserve"> </w:t>
      </w:r>
      <w:r w:rsidR="00155563" w:rsidRPr="00155563">
        <w:rPr>
          <w:rFonts w:ascii="Times New Roman" w:eastAsia="Times New Roman" w:hAnsi="Times New Roman" w:cs="Times New Roman"/>
          <w:bCs/>
          <w:color w:val="auto"/>
          <w:sz w:val="24"/>
          <w:szCs w:val="24"/>
          <w:lang w:eastAsia="en-US"/>
        </w:rPr>
        <w:t>Members of the public can address the Council for 3 minutes each through the Chair in relation to any item on the Agenda</w:t>
      </w:r>
      <w:r w:rsidR="00155563">
        <w:rPr>
          <w:rFonts w:ascii="Times New Roman" w:eastAsia="Times New Roman" w:hAnsi="Times New Roman" w:cs="Times New Roman"/>
          <w:bCs/>
          <w:color w:val="auto"/>
          <w:sz w:val="24"/>
          <w:szCs w:val="24"/>
          <w:lang w:eastAsia="en-US"/>
        </w:rPr>
        <w:t xml:space="preserve">, </w:t>
      </w:r>
      <w:r w:rsidR="00155563" w:rsidRPr="00155563">
        <w:rPr>
          <w:rFonts w:ascii="Times New Roman" w:eastAsia="Times New Roman" w:hAnsi="Times New Roman" w:cs="Times New Roman"/>
          <w:bCs/>
          <w:color w:val="auto"/>
          <w:sz w:val="24"/>
          <w:szCs w:val="24"/>
          <w:lang w:eastAsia="en-US"/>
        </w:rPr>
        <w:t xml:space="preserve">in accordance with the Standing Orders adopted by the Council.  </w:t>
      </w:r>
    </w:p>
    <w:p w14:paraId="31EF9BCB" w14:textId="77777777" w:rsidR="00155563" w:rsidRPr="00372249" w:rsidRDefault="00155563" w:rsidP="00155563">
      <w:pPr>
        <w:pStyle w:val="ListParagraph"/>
        <w:spacing w:after="0" w:line="240" w:lineRule="auto"/>
        <w:ind w:left="170"/>
        <w:rPr>
          <w:rFonts w:ascii="Times New Roman" w:eastAsia="Times New Roman" w:hAnsi="Times New Roman" w:cs="Times New Roman"/>
          <w:color w:val="auto"/>
          <w:sz w:val="24"/>
          <w:szCs w:val="24"/>
          <w:lang w:eastAsia="en-US"/>
        </w:rPr>
      </w:pPr>
    </w:p>
    <w:p w14:paraId="3F263EF6" w14:textId="066F2A87" w:rsidR="005523B6" w:rsidRPr="00160138" w:rsidRDefault="004D26DC"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BA5B42">
        <w:rPr>
          <w:rFonts w:ascii="Times New Roman" w:eastAsia="Times New Roman" w:hAnsi="Times New Roman" w:cs="Times New Roman"/>
          <w:bCs/>
          <w:color w:val="auto"/>
          <w:sz w:val="24"/>
          <w:szCs w:val="24"/>
          <w:lang w:eastAsia="en-US"/>
        </w:rPr>
        <w:t>To receive a</w:t>
      </w:r>
      <w:r w:rsidR="00C278FE" w:rsidRPr="00F71F05">
        <w:rPr>
          <w:rFonts w:ascii="Times New Roman" w:eastAsia="Times New Roman" w:hAnsi="Times New Roman" w:cs="Times New Roman"/>
          <w:bCs/>
          <w:color w:val="auto"/>
          <w:sz w:val="24"/>
          <w:szCs w:val="24"/>
          <w:lang w:eastAsia="en-US"/>
        </w:rPr>
        <w:t>pologies for absence</w:t>
      </w:r>
    </w:p>
    <w:p w14:paraId="3FEA9957" w14:textId="30AF78A3" w:rsidR="005523B6" w:rsidRPr="006B05EB" w:rsidRDefault="004D26DC"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C278FE" w:rsidRPr="00AA4475">
        <w:rPr>
          <w:rFonts w:ascii="Times New Roman" w:eastAsia="Times New Roman" w:hAnsi="Times New Roman" w:cs="Times New Roman"/>
          <w:bCs/>
          <w:color w:val="auto"/>
          <w:sz w:val="24"/>
          <w:szCs w:val="24"/>
          <w:lang w:eastAsia="en-US"/>
        </w:rPr>
        <w:t>To receive declarations of Members’ Interest on the Agenda</w:t>
      </w:r>
    </w:p>
    <w:p w14:paraId="71900D44" w14:textId="2A1B8278" w:rsidR="00C278FE" w:rsidRPr="00AA4475" w:rsidRDefault="004D26DC" w:rsidP="00C278FE">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C278FE" w:rsidRPr="00AA4475">
        <w:rPr>
          <w:rFonts w:ascii="Times New Roman" w:eastAsia="Times New Roman" w:hAnsi="Times New Roman" w:cs="Times New Roman"/>
          <w:bCs/>
          <w:color w:val="auto"/>
          <w:sz w:val="24"/>
          <w:szCs w:val="24"/>
          <w:lang w:eastAsia="en-US"/>
        </w:rPr>
        <w:t xml:space="preserve">To approve the Minutes of the last meeting </w:t>
      </w:r>
      <w:r w:rsidR="000916EC">
        <w:rPr>
          <w:rFonts w:ascii="Times New Roman" w:eastAsia="Times New Roman" w:hAnsi="Times New Roman" w:cs="Times New Roman"/>
          <w:bCs/>
          <w:color w:val="auto"/>
          <w:sz w:val="24"/>
          <w:szCs w:val="24"/>
          <w:lang w:eastAsia="en-US"/>
        </w:rPr>
        <w:t>21</w:t>
      </w:r>
      <w:r w:rsidR="000916EC" w:rsidRPr="000916EC">
        <w:rPr>
          <w:rFonts w:ascii="Times New Roman" w:eastAsia="Times New Roman" w:hAnsi="Times New Roman" w:cs="Times New Roman"/>
          <w:bCs/>
          <w:color w:val="auto"/>
          <w:sz w:val="24"/>
          <w:szCs w:val="24"/>
          <w:vertAlign w:val="superscript"/>
          <w:lang w:eastAsia="en-US"/>
        </w:rPr>
        <w:t>st</w:t>
      </w:r>
      <w:r w:rsidR="000916EC">
        <w:rPr>
          <w:rFonts w:ascii="Times New Roman" w:eastAsia="Times New Roman" w:hAnsi="Times New Roman" w:cs="Times New Roman"/>
          <w:bCs/>
          <w:color w:val="auto"/>
          <w:sz w:val="24"/>
          <w:szCs w:val="24"/>
          <w:lang w:eastAsia="en-US"/>
        </w:rPr>
        <w:t xml:space="preserve"> October </w:t>
      </w:r>
      <w:r w:rsidR="00994F6B" w:rsidRPr="00AA4475">
        <w:rPr>
          <w:rFonts w:ascii="Times New Roman" w:eastAsia="Times New Roman" w:hAnsi="Times New Roman" w:cs="Times New Roman"/>
          <w:bCs/>
          <w:color w:val="auto"/>
          <w:sz w:val="24"/>
          <w:szCs w:val="24"/>
          <w:lang w:eastAsia="en-US"/>
        </w:rPr>
        <w:t>202</w:t>
      </w:r>
      <w:r w:rsidR="0061770F">
        <w:rPr>
          <w:rFonts w:ascii="Times New Roman" w:eastAsia="Times New Roman" w:hAnsi="Times New Roman" w:cs="Times New Roman"/>
          <w:bCs/>
          <w:color w:val="auto"/>
          <w:sz w:val="24"/>
          <w:szCs w:val="24"/>
          <w:lang w:eastAsia="en-US"/>
        </w:rPr>
        <w:t>1</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5700B300" w14:textId="62297134" w:rsidR="00E369F5" w:rsidRDefault="004D26DC" w:rsidP="0068739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F71F05" w:rsidRPr="00892B2D">
        <w:rPr>
          <w:rFonts w:ascii="Times New Roman" w:eastAsia="Times New Roman" w:hAnsi="Times New Roman" w:cs="Times New Roman"/>
          <w:b/>
          <w:color w:val="auto"/>
          <w:sz w:val="24"/>
          <w:szCs w:val="24"/>
          <w:lang w:eastAsia="en-US"/>
        </w:rPr>
        <w:t>Planning</w:t>
      </w:r>
      <w:r w:rsidR="00F71F05">
        <w:rPr>
          <w:rFonts w:ascii="Times New Roman" w:eastAsia="Times New Roman" w:hAnsi="Times New Roman" w:cs="Times New Roman"/>
          <w:bCs/>
          <w:color w:val="auto"/>
          <w:sz w:val="24"/>
          <w:szCs w:val="24"/>
          <w:lang w:eastAsia="en-US"/>
        </w:rPr>
        <w:t xml:space="preserve"> </w:t>
      </w:r>
      <w:r w:rsidR="00043AB3">
        <w:rPr>
          <w:rFonts w:ascii="Times New Roman" w:eastAsia="Times New Roman" w:hAnsi="Times New Roman" w:cs="Times New Roman"/>
          <w:bCs/>
          <w:color w:val="auto"/>
          <w:sz w:val="24"/>
          <w:szCs w:val="24"/>
          <w:lang w:eastAsia="en-US"/>
        </w:rPr>
        <w:t>–</w:t>
      </w:r>
      <w:r w:rsidR="002877F4">
        <w:rPr>
          <w:rFonts w:ascii="Times New Roman" w:eastAsia="Times New Roman" w:hAnsi="Times New Roman" w:cs="Times New Roman"/>
          <w:color w:val="auto"/>
          <w:sz w:val="24"/>
          <w:szCs w:val="24"/>
          <w:lang w:eastAsia="en-US"/>
        </w:rPr>
        <w:t xml:space="preserve"> </w:t>
      </w:r>
      <w:r w:rsidR="009C2124">
        <w:rPr>
          <w:rFonts w:ascii="Times New Roman" w:eastAsia="Times New Roman" w:hAnsi="Times New Roman" w:cs="Times New Roman"/>
          <w:color w:val="auto"/>
          <w:sz w:val="24"/>
          <w:szCs w:val="24"/>
          <w:lang w:eastAsia="en-US"/>
        </w:rPr>
        <w:t>to discuss and comment where appropriate</w:t>
      </w:r>
    </w:p>
    <w:p w14:paraId="63EAE4D7" w14:textId="1A96A1E9" w:rsidR="000916EC" w:rsidRDefault="009C2124" w:rsidP="000916EC">
      <w:pPr>
        <w:pStyle w:val="ListParagraph"/>
        <w:spacing w:after="0" w:line="240" w:lineRule="auto"/>
        <w:ind w:left="17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E61DC9">
        <w:rPr>
          <w:rFonts w:ascii="Times New Roman" w:eastAsia="Times New Roman" w:hAnsi="Times New Roman" w:cs="Times New Roman"/>
          <w:b/>
          <w:color w:val="auto"/>
          <w:sz w:val="24"/>
          <w:szCs w:val="24"/>
          <w:lang w:eastAsia="en-US"/>
        </w:rPr>
        <w:t xml:space="preserve">NE/21/01585/TCA </w:t>
      </w:r>
      <w:r w:rsidR="00E61DC9" w:rsidRPr="00E61DC9">
        <w:rPr>
          <w:rFonts w:ascii="Times New Roman" w:eastAsia="Times New Roman" w:hAnsi="Times New Roman" w:cs="Times New Roman"/>
          <w:bCs/>
          <w:color w:val="auto"/>
          <w:sz w:val="24"/>
          <w:szCs w:val="24"/>
          <w:lang w:eastAsia="en-US"/>
        </w:rPr>
        <w:t>Various tree reductions- Branwell House, High St</w:t>
      </w:r>
    </w:p>
    <w:p w14:paraId="31CFB2F9" w14:textId="7D660427" w:rsidR="007B39F8" w:rsidRDefault="007B39F8" w:rsidP="000916EC">
      <w:pPr>
        <w:pStyle w:val="ListParagraph"/>
        <w:spacing w:after="0" w:line="240" w:lineRule="auto"/>
        <w:ind w:left="17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Pr>
          <w:rFonts w:ascii="Times New Roman" w:eastAsia="Times New Roman" w:hAnsi="Times New Roman" w:cs="Times New Roman"/>
          <w:bCs/>
          <w:color w:val="auto"/>
          <w:sz w:val="24"/>
          <w:szCs w:val="24"/>
          <w:lang w:eastAsia="en-US"/>
        </w:rPr>
        <w:t>To note pre-consultation invitation from developers of Castle Manor Farm- east of Haldens Parkway</w:t>
      </w:r>
    </w:p>
    <w:p w14:paraId="1FCE2157" w14:textId="00B45762" w:rsidR="007B39F8" w:rsidRPr="007B39F8" w:rsidRDefault="007B39F8" w:rsidP="000916EC">
      <w:pPr>
        <w:pStyle w:val="ListParagraph"/>
        <w:spacing w:after="0" w:line="240" w:lineRule="auto"/>
        <w:ind w:left="17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Wed 24</w:t>
      </w:r>
      <w:r w:rsidRPr="007B39F8">
        <w:rPr>
          <w:rFonts w:ascii="Times New Roman" w:eastAsia="Times New Roman" w:hAnsi="Times New Roman" w:cs="Times New Roman"/>
          <w:bCs/>
          <w:color w:val="auto"/>
          <w:sz w:val="24"/>
          <w:szCs w:val="24"/>
          <w:vertAlign w:val="superscript"/>
          <w:lang w:eastAsia="en-US"/>
        </w:rPr>
        <w:t>th</w:t>
      </w:r>
      <w:r>
        <w:rPr>
          <w:rFonts w:ascii="Times New Roman" w:eastAsia="Times New Roman" w:hAnsi="Times New Roman" w:cs="Times New Roman"/>
          <w:bCs/>
          <w:color w:val="auto"/>
          <w:sz w:val="24"/>
          <w:szCs w:val="24"/>
          <w:lang w:eastAsia="en-US"/>
        </w:rPr>
        <w:t xml:space="preserve"> Nov 1.30-2.30- Would any councillor like to attend (circulated)</w:t>
      </w:r>
    </w:p>
    <w:p w14:paraId="65A489BF" w14:textId="77777777" w:rsidR="004E0017" w:rsidRPr="00D95EA7" w:rsidRDefault="004E0017" w:rsidP="00D95EA7">
      <w:pPr>
        <w:spacing w:after="0" w:line="240" w:lineRule="auto"/>
        <w:rPr>
          <w:rFonts w:ascii="Times New Roman" w:eastAsia="Times New Roman" w:hAnsi="Times New Roman" w:cs="Times New Roman"/>
          <w:color w:val="auto"/>
          <w:sz w:val="24"/>
          <w:szCs w:val="24"/>
          <w:lang w:eastAsia="en-US"/>
        </w:rPr>
      </w:pPr>
    </w:p>
    <w:p w14:paraId="0680D723" w14:textId="7CA5FFED" w:rsidR="000304BD" w:rsidRPr="000304BD" w:rsidRDefault="00E369F5" w:rsidP="000304BD">
      <w:pPr>
        <w:pStyle w:val="ListParagraph"/>
        <w:numPr>
          <w:ilvl w:val="0"/>
          <w:numId w:val="30"/>
        </w:numPr>
        <w:spacing w:after="0" w:line="240" w:lineRule="auto"/>
        <w:rPr>
          <w:rFonts w:ascii="Times New Roman" w:hAnsi="Times New Roman" w:cs="Times New Roman"/>
          <w:bCs/>
          <w:color w:val="auto"/>
          <w:sz w:val="24"/>
          <w:szCs w:val="24"/>
          <w:lang w:eastAsia="en-US"/>
        </w:rPr>
      </w:pPr>
      <w:r w:rsidRPr="00E369F5">
        <w:rPr>
          <w:rFonts w:ascii="Times New Roman" w:eastAsia="Times New Roman" w:hAnsi="Times New Roman" w:cs="Times New Roman"/>
          <w:b/>
          <w:bCs/>
          <w:color w:val="auto"/>
          <w:sz w:val="24"/>
          <w:szCs w:val="24"/>
          <w:lang w:eastAsia="en-US"/>
        </w:rPr>
        <w:t xml:space="preserve">Governance </w:t>
      </w:r>
      <w:r w:rsidR="006E3FC8">
        <w:rPr>
          <w:rFonts w:ascii="Times New Roman" w:eastAsia="Times New Roman" w:hAnsi="Times New Roman" w:cs="Times New Roman"/>
          <w:b/>
          <w:bCs/>
          <w:color w:val="auto"/>
          <w:sz w:val="24"/>
          <w:szCs w:val="24"/>
          <w:lang w:eastAsia="en-US"/>
        </w:rPr>
        <w:t>–</w:t>
      </w:r>
      <w:r w:rsidR="0045675D">
        <w:rPr>
          <w:rFonts w:ascii="Times New Roman" w:eastAsia="Times New Roman" w:hAnsi="Times New Roman" w:cs="Times New Roman"/>
          <w:b/>
          <w:bCs/>
          <w:color w:val="auto"/>
          <w:sz w:val="24"/>
          <w:szCs w:val="24"/>
          <w:lang w:eastAsia="en-US"/>
        </w:rPr>
        <w:t xml:space="preserve"> to review </w:t>
      </w:r>
      <w:r w:rsidR="00F63B0E">
        <w:rPr>
          <w:rFonts w:ascii="Times New Roman" w:eastAsia="Times New Roman" w:hAnsi="Times New Roman" w:cs="Times New Roman"/>
          <w:b/>
          <w:bCs/>
          <w:color w:val="auto"/>
          <w:sz w:val="24"/>
          <w:szCs w:val="24"/>
          <w:lang w:eastAsia="en-US"/>
        </w:rPr>
        <w:t>and approve</w:t>
      </w:r>
      <w:r w:rsidR="00451C04">
        <w:rPr>
          <w:rFonts w:ascii="Times New Roman" w:eastAsia="Times New Roman" w:hAnsi="Times New Roman" w:cs="Times New Roman"/>
          <w:b/>
          <w:bCs/>
          <w:color w:val="auto"/>
          <w:sz w:val="24"/>
          <w:szCs w:val="24"/>
          <w:lang w:eastAsia="en-US"/>
        </w:rPr>
        <w:t xml:space="preserve"> where appropriate </w:t>
      </w:r>
    </w:p>
    <w:p w14:paraId="501244FA" w14:textId="566C7FFF" w:rsidR="002B1DD2" w:rsidRDefault="000304BD" w:rsidP="00E74C56">
      <w:pPr>
        <w:pStyle w:val="ListParagraph"/>
        <w:spacing w:after="0" w:line="240" w:lineRule="auto"/>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bCs/>
          <w:color w:val="auto"/>
          <w:sz w:val="24"/>
          <w:szCs w:val="24"/>
          <w:lang w:eastAsia="en-US"/>
        </w:rPr>
        <w:t xml:space="preserve">              </w:t>
      </w:r>
      <w:r w:rsidRPr="000304BD">
        <w:rPr>
          <w:rFonts w:ascii="Times New Roman" w:eastAsia="Times New Roman" w:hAnsi="Times New Roman" w:cs="Times New Roman"/>
          <w:color w:val="auto"/>
          <w:sz w:val="24"/>
          <w:szCs w:val="24"/>
          <w:lang w:eastAsia="en-US"/>
        </w:rPr>
        <w:t xml:space="preserve">a) </w:t>
      </w:r>
      <w:r w:rsidR="00153E79">
        <w:rPr>
          <w:rFonts w:ascii="Times New Roman" w:eastAsia="Times New Roman" w:hAnsi="Times New Roman" w:cs="Times New Roman"/>
          <w:color w:val="auto"/>
          <w:sz w:val="24"/>
          <w:szCs w:val="24"/>
          <w:lang w:eastAsia="en-US"/>
        </w:rPr>
        <w:t>Policy review- Email Communication</w:t>
      </w:r>
      <w:r w:rsidR="00CB33E4">
        <w:rPr>
          <w:rFonts w:ascii="Times New Roman" w:eastAsia="Times New Roman" w:hAnsi="Times New Roman" w:cs="Times New Roman"/>
          <w:color w:val="auto"/>
          <w:sz w:val="24"/>
          <w:szCs w:val="24"/>
          <w:lang w:eastAsia="en-US"/>
        </w:rPr>
        <w:t xml:space="preserve"> (attached)</w:t>
      </w:r>
    </w:p>
    <w:p w14:paraId="2CBEB830" w14:textId="653C4824" w:rsidR="00451C04" w:rsidRDefault="00E80404" w:rsidP="00451C04">
      <w:pPr>
        <w:pStyle w:val="ListParagraph"/>
        <w:spacing w:after="0" w:line="240" w:lineRule="auto"/>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b) Review and </w:t>
      </w:r>
      <w:r w:rsidR="000916EC">
        <w:rPr>
          <w:rFonts w:ascii="Times New Roman" w:eastAsia="Times New Roman" w:hAnsi="Times New Roman" w:cs="Times New Roman"/>
          <w:color w:val="auto"/>
          <w:sz w:val="24"/>
          <w:szCs w:val="24"/>
          <w:lang w:eastAsia="en-US"/>
        </w:rPr>
        <w:t xml:space="preserve">agree Terms of reference for the NCALC Internal Audit </w:t>
      </w:r>
      <w:r w:rsidR="00451C04">
        <w:rPr>
          <w:rFonts w:ascii="Times New Roman" w:eastAsia="Times New Roman" w:hAnsi="Times New Roman" w:cs="Times New Roman"/>
          <w:color w:val="auto"/>
          <w:sz w:val="24"/>
          <w:szCs w:val="24"/>
          <w:lang w:eastAsia="en-US"/>
        </w:rPr>
        <w:t>service</w:t>
      </w:r>
      <w:r w:rsidR="00C048E1">
        <w:rPr>
          <w:rFonts w:ascii="Times New Roman" w:eastAsia="Times New Roman" w:hAnsi="Times New Roman" w:cs="Times New Roman"/>
          <w:color w:val="auto"/>
          <w:sz w:val="24"/>
          <w:szCs w:val="24"/>
          <w:lang w:eastAsia="en-US"/>
        </w:rPr>
        <w:t xml:space="preserve"> (attached)</w:t>
      </w:r>
    </w:p>
    <w:p w14:paraId="5C025A08" w14:textId="6567866E" w:rsidR="000304BD" w:rsidRDefault="00451C04" w:rsidP="00451C04">
      <w:pPr>
        <w:pStyle w:val="ListParagraph"/>
        <w:spacing w:after="0" w:line="240" w:lineRule="auto"/>
        <w:rPr>
          <w:rFonts w:ascii="Times New Roman" w:hAnsi="Times New Roman" w:cs="Times New Roman"/>
          <w:bCs/>
          <w:color w:val="auto"/>
          <w:sz w:val="24"/>
          <w:szCs w:val="24"/>
          <w:lang w:eastAsia="en-US"/>
        </w:rPr>
      </w:pPr>
      <w:r>
        <w:rPr>
          <w:rFonts w:ascii="Times New Roman" w:eastAsia="Times New Roman" w:hAnsi="Times New Roman" w:cs="Times New Roman"/>
          <w:color w:val="auto"/>
          <w:sz w:val="24"/>
          <w:szCs w:val="24"/>
          <w:lang w:eastAsia="en-US"/>
        </w:rPr>
        <w:t xml:space="preserve">     </w:t>
      </w:r>
      <w:r w:rsidRPr="00451C04">
        <w:rPr>
          <w:rFonts w:ascii="Times New Roman" w:hAnsi="Times New Roman" w:cs="Times New Roman"/>
          <w:bCs/>
          <w:color w:val="auto"/>
          <w:sz w:val="24"/>
          <w:szCs w:val="24"/>
          <w:lang w:eastAsia="en-US"/>
        </w:rPr>
        <w:t>c)</w:t>
      </w:r>
      <w:r w:rsidRPr="00451C04">
        <w:t xml:space="preserve"> </w:t>
      </w:r>
      <w:r w:rsidRPr="00451C04">
        <w:rPr>
          <w:rFonts w:ascii="Times New Roman" w:hAnsi="Times New Roman" w:cs="Times New Roman"/>
          <w:bCs/>
          <w:color w:val="auto"/>
          <w:sz w:val="24"/>
          <w:szCs w:val="24"/>
          <w:lang w:eastAsia="en-US"/>
        </w:rPr>
        <w:t xml:space="preserve">To consider moving towards using the General Power of Competence, and if in agreement, </w:t>
      </w:r>
      <w:r>
        <w:rPr>
          <w:rFonts w:ascii="Times New Roman" w:hAnsi="Times New Roman" w:cs="Times New Roman"/>
          <w:bCs/>
          <w:color w:val="auto"/>
          <w:sz w:val="24"/>
          <w:szCs w:val="24"/>
          <w:lang w:eastAsia="en-US"/>
        </w:rPr>
        <w:t xml:space="preserve">Clerk </w:t>
      </w:r>
      <w:r w:rsidRPr="00451C04">
        <w:rPr>
          <w:rFonts w:ascii="Times New Roman" w:hAnsi="Times New Roman" w:cs="Times New Roman"/>
          <w:bCs/>
          <w:color w:val="auto"/>
          <w:sz w:val="24"/>
          <w:szCs w:val="24"/>
          <w:lang w:eastAsia="en-US"/>
        </w:rPr>
        <w:t>will prepare a briefing paper and include a resolution on future Agenda</w:t>
      </w:r>
    </w:p>
    <w:p w14:paraId="1041EA2F" w14:textId="77777777" w:rsidR="00451C04" w:rsidRPr="00451C04" w:rsidRDefault="00451C04" w:rsidP="00451C04">
      <w:pPr>
        <w:pStyle w:val="ListParagraph"/>
        <w:spacing w:after="0" w:line="240" w:lineRule="auto"/>
        <w:rPr>
          <w:rFonts w:ascii="Times New Roman" w:eastAsia="Times New Roman" w:hAnsi="Times New Roman" w:cs="Times New Roman"/>
          <w:color w:val="auto"/>
          <w:sz w:val="24"/>
          <w:szCs w:val="24"/>
          <w:lang w:eastAsia="en-US"/>
        </w:rPr>
      </w:pPr>
    </w:p>
    <w:p w14:paraId="6CC90F03" w14:textId="6A2711CC" w:rsidR="0086269E" w:rsidRPr="00AA4475" w:rsidRDefault="0086269E" w:rsidP="0086269E">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b/>
          <w:color w:val="auto"/>
          <w:sz w:val="24"/>
          <w:szCs w:val="24"/>
          <w:lang w:eastAsia="en-US"/>
        </w:rPr>
        <w:t xml:space="preserve">Finance </w:t>
      </w:r>
    </w:p>
    <w:p w14:paraId="71803C00" w14:textId="001285F2" w:rsidR="0086269E" w:rsidRDefault="0086269E"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sidRPr="0051756F">
        <w:rPr>
          <w:rFonts w:ascii="Times New Roman" w:eastAsia="Times New Roman" w:hAnsi="Times New Roman" w:cs="Times New Roman"/>
          <w:color w:val="auto"/>
          <w:sz w:val="24"/>
          <w:szCs w:val="24"/>
          <w:lang w:eastAsia="en-US"/>
        </w:rPr>
        <w:t xml:space="preserve">To receive and approve the Financial Report, Bank reconciliation &amp; Payments Due for </w:t>
      </w:r>
      <w:r w:rsidR="000916EC">
        <w:rPr>
          <w:rFonts w:ascii="Times New Roman" w:eastAsia="Times New Roman" w:hAnsi="Times New Roman" w:cs="Times New Roman"/>
          <w:color w:val="auto"/>
          <w:sz w:val="24"/>
          <w:szCs w:val="24"/>
          <w:lang w:eastAsia="en-US"/>
        </w:rPr>
        <w:t xml:space="preserve">November </w:t>
      </w:r>
      <w:r w:rsidRPr="0051756F">
        <w:rPr>
          <w:rFonts w:ascii="Times New Roman" w:eastAsia="Times New Roman" w:hAnsi="Times New Roman" w:cs="Times New Roman"/>
          <w:color w:val="auto"/>
          <w:sz w:val="24"/>
          <w:szCs w:val="24"/>
          <w:lang w:eastAsia="en-US"/>
        </w:rPr>
        <w:t>20</w:t>
      </w:r>
      <w:r w:rsidR="00994F6B" w:rsidRPr="0051756F">
        <w:rPr>
          <w:rFonts w:ascii="Times New Roman" w:eastAsia="Times New Roman" w:hAnsi="Times New Roman" w:cs="Times New Roman"/>
          <w:color w:val="auto"/>
          <w:sz w:val="24"/>
          <w:szCs w:val="24"/>
          <w:lang w:eastAsia="en-US"/>
        </w:rPr>
        <w:t>2</w:t>
      </w:r>
      <w:r w:rsidR="00E71919" w:rsidRPr="0051756F">
        <w:rPr>
          <w:rFonts w:ascii="Times New Roman" w:eastAsia="Times New Roman" w:hAnsi="Times New Roman" w:cs="Times New Roman"/>
          <w:color w:val="auto"/>
          <w:sz w:val="24"/>
          <w:szCs w:val="24"/>
          <w:lang w:eastAsia="en-US"/>
        </w:rPr>
        <w:t>1</w:t>
      </w:r>
      <w:r w:rsidR="00F87252" w:rsidRPr="0051756F">
        <w:rPr>
          <w:rFonts w:ascii="Times New Roman" w:eastAsia="Times New Roman" w:hAnsi="Times New Roman" w:cs="Times New Roman"/>
          <w:color w:val="auto"/>
          <w:sz w:val="24"/>
          <w:szCs w:val="24"/>
          <w:lang w:eastAsia="en-US"/>
        </w:rPr>
        <w:t xml:space="preserve"> </w:t>
      </w:r>
      <w:r w:rsidR="00994F6B" w:rsidRPr="0051756F">
        <w:rPr>
          <w:rFonts w:ascii="Times New Roman" w:eastAsia="Times New Roman" w:hAnsi="Times New Roman" w:cs="Times New Roman"/>
          <w:color w:val="auto"/>
          <w:sz w:val="24"/>
          <w:szCs w:val="24"/>
          <w:lang w:eastAsia="en-US"/>
        </w:rPr>
        <w:t>(Attached)</w:t>
      </w:r>
      <w:r w:rsidR="00203572" w:rsidRPr="0051756F">
        <w:rPr>
          <w:rFonts w:ascii="Times New Roman" w:eastAsia="Times New Roman" w:hAnsi="Times New Roman" w:cs="Times New Roman"/>
          <w:color w:val="auto"/>
          <w:sz w:val="24"/>
          <w:szCs w:val="24"/>
          <w:lang w:eastAsia="en-US"/>
        </w:rPr>
        <w:t xml:space="preserve"> </w:t>
      </w:r>
      <w:r w:rsidR="00745AB5" w:rsidRPr="0051756F">
        <w:rPr>
          <w:rFonts w:ascii="Times New Roman" w:eastAsia="Times New Roman" w:hAnsi="Times New Roman" w:cs="Times New Roman"/>
          <w:color w:val="auto"/>
          <w:sz w:val="24"/>
          <w:szCs w:val="24"/>
          <w:lang w:eastAsia="en-US"/>
        </w:rPr>
        <w:t xml:space="preserve"> </w:t>
      </w:r>
    </w:p>
    <w:p w14:paraId="5F11591A" w14:textId="5D580AC3" w:rsidR="002E21F3" w:rsidRDefault="002E21F3"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To </w:t>
      </w:r>
      <w:r w:rsidR="000916EC">
        <w:rPr>
          <w:rFonts w:ascii="Times New Roman" w:eastAsia="Times New Roman" w:hAnsi="Times New Roman" w:cs="Times New Roman"/>
          <w:color w:val="auto"/>
          <w:sz w:val="24"/>
          <w:szCs w:val="24"/>
          <w:lang w:eastAsia="en-US"/>
        </w:rPr>
        <w:t>receive and discuss first draft of proposed budget for 2022-23</w:t>
      </w:r>
      <w:r w:rsidR="00CB33E4">
        <w:rPr>
          <w:rFonts w:ascii="Times New Roman" w:eastAsia="Times New Roman" w:hAnsi="Times New Roman" w:cs="Times New Roman"/>
          <w:color w:val="auto"/>
          <w:sz w:val="24"/>
          <w:szCs w:val="24"/>
          <w:lang w:eastAsia="en-US"/>
        </w:rPr>
        <w:t xml:space="preserve"> (Attached)</w:t>
      </w:r>
    </w:p>
    <w:p w14:paraId="780194BD" w14:textId="38A40946" w:rsidR="008C62F8" w:rsidRDefault="008C62F8"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sidRPr="008C62F8">
        <w:rPr>
          <w:rFonts w:ascii="Times New Roman" w:eastAsia="Times New Roman" w:hAnsi="Times New Roman" w:cs="Times New Roman"/>
          <w:color w:val="auto"/>
          <w:sz w:val="24"/>
          <w:szCs w:val="24"/>
          <w:lang w:eastAsia="en-US"/>
        </w:rPr>
        <w:t>To receive and appro</w:t>
      </w:r>
      <w:r>
        <w:rPr>
          <w:rFonts w:ascii="Times New Roman" w:eastAsia="Times New Roman" w:hAnsi="Times New Roman" w:cs="Times New Roman"/>
          <w:color w:val="auto"/>
          <w:sz w:val="24"/>
          <w:szCs w:val="24"/>
          <w:lang w:eastAsia="en-US"/>
        </w:rPr>
        <w:t xml:space="preserve">ve </w:t>
      </w:r>
      <w:r w:rsidRPr="008C62F8">
        <w:rPr>
          <w:rFonts w:ascii="Times New Roman" w:eastAsia="Times New Roman" w:hAnsi="Times New Roman" w:cs="Times New Roman"/>
          <w:color w:val="auto"/>
          <w:sz w:val="24"/>
          <w:szCs w:val="24"/>
          <w:lang w:eastAsia="en-US"/>
        </w:rPr>
        <w:t xml:space="preserve">quotes for alternative Electricity supplier </w:t>
      </w:r>
      <w:r>
        <w:rPr>
          <w:rFonts w:ascii="Times New Roman" w:eastAsia="Times New Roman" w:hAnsi="Times New Roman" w:cs="Times New Roman"/>
          <w:color w:val="auto"/>
          <w:sz w:val="24"/>
          <w:szCs w:val="24"/>
          <w:lang w:eastAsia="en-US"/>
        </w:rPr>
        <w:t xml:space="preserve">for the Pavilion </w:t>
      </w:r>
      <w:r w:rsidRPr="008C62F8">
        <w:rPr>
          <w:rFonts w:ascii="Times New Roman" w:eastAsia="Times New Roman" w:hAnsi="Times New Roman" w:cs="Times New Roman"/>
          <w:color w:val="auto"/>
          <w:sz w:val="24"/>
          <w:szCs w:val="24"/>
          <w:lang w:eastAsia="en-US"/>
        </w:rPr>
        <w:t>as current tariff ends shortly</w:t>
      </w:r>
      <w:r w:rsidR="00CB33E4">
        <w:rPr>
          <w:rFonts w:ascii="Times New Roman" w:eastAsia="Times New Roman" w:hAnsi="Times New Roman" w:cs="Times New Roman"/>
          <w:color w:val="auto"/>
          <w:sz w:val="24"/>
          <w:szCs w:val="24"/>
          <w:lang w:eastAsia="en-US"/>
        </w:rPr>
        <w:t xml:space="preserve"> (Appendix 1)</w:t>
      </w:r>
    </w:p>
    <w:p w14:paraId="381309BA" w14:textId="77777777" w:rsidR="0051756F" w:rsidRPr="000500C4" w:rsidRDefault="0051756F" w:rsidP="000500C4">
      <w:pPr>
        <w:spacing w:after="0" w:line="240" w:lineRule="auto"/>
        <w:rPr>
          <w:rFonts w:ascii="Times New Roman" w:eastAsia="Times New Roman" w:hAnsi="Times New Roman" w:cs="Times New Roman"/>
          <w:color w:val="auto"/>
          <w:sz w:val="24"/>
          <w:szCs w:val="24"/>
          <w:lang w:eastAsia="en-US"/>
        </w:rPr>
      </w:pPr>
    </w:p>
    <w:p w14:paraId="11514F73" w14:textId="4A3B032C" w:rsidR="00E61DD1"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
          <w:color w:val="auto"/>
          <w:sz w:val="24"/>
          <w:szCs w:val="24"/>
          <w:lang w:eastAsia="en-US"/>
        </w:rPr>
        <w:t>Highways</w:t>
      </w:r>
      <w:r w:rsidRPr="00AA4475">
        <w:rPr>
          <w:rFonts w:ascii="Times New Roman" w:eastAsia="Times New Roman" w:hAnsi="Times New Roman" w:cs="Times New Roman"/>
          <w:color w:val="auto"/>
          <w:sz w:val="24"/>
          <w:szCs w:val="24"/>
          <w:lang w:eastAsia="en-US"/>
        </w:rPr>
        <w:t xml:space="preserve"> </w:t>
      </w:r>
      <w:r w:rsidR="00582FFB">
        <w:rPr>
          <w:rFonts w:ascii="Times New Roman" w:eastAsia="Times New Roman" w:hAnsi="Times New Roman" w:cs="Times New Roman"/>
          <w:color w:val="auto"/>
          <w:sz w:val="24"/>
          <w:szCs w:val="24"/>
          <w:lang w:eastAsia="en-US"/>
        </w:rPr>
        <w:t xml:space="preserve">– </w:t>
      </w:r>
    </w:p>
    <w:p w14:paraId="43C4135E" w14:textId="08048498" w:rsidR="00E80404" w:rsidRDefault="00E34706" w:rsidP="003B4C67">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To receive a report from Cllr </w:t>
      </w:r>
      <w:r w:rsidR="00B207F9">
        <w:rPr>
          <w:rFonts w:ascii="Times New Roman" w:eastAsia="Times New Roman" w:hAnsi="Times New Roman" w:cs="Times New Roman"/>
          <w:color w:val="auto"/>
          <w:sz w:val="24"/>
          <w:szCs w:val="24"/>
          <w:lang w:eastAsia="en-US"/>
        </w:rPr>
        <w:t>Taylor</w:t>
      </w:r>
      <w:r>
        <w:rPr>
          <w:rFonts w:ascii="Times New Roman" w:eastAsia="Times New Roman" w:hAnsi="Times New Roman" w:cs="Times New Roman"/>
          <w:color w:val="auto"/>
          <w:sz w:val="24"/>
          <w:szCs w:val="24"/>
          <w:lang w:eastAsia="en-US"/>
        </w:rPr>
        <w:t xml:space="preserve"> and decide on any actions required</w:t>
      </w:r>
    </w:p>
    <w:p w14:paraId="305F7D9B" w14:textId="6685F88D" w:rsidR="00CB33E4" w:rsidRDefault="00CB33E4" w:rsidP="003B4C67">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note a second theft of the School Lane- no through road signage, and decide what to do</w:t>
      </w:r>
    </w:p>
    <w:p w14:paraId="3C9D2C63" w14:textId="38CB8FDC" w:rsidR="006719A1" w:rsidRPr="003B4C67" w:rsidRDefault="006719A1" w:rsidP="003B4C67">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discuss the idea of some wildflower planting along verges</w:t>
      </w:r>
    </w:p>
    <w:p w14:paraId="25E0D4F7" w14:textId="77777777" w:rsidR="00003022" w:rsidRPr="00003022" w:rsidRDefault="00003022" w:rsidP="00003022">
      <w:pPr>
        <w:pStyle w:val="ListParagraph"/>
        <w:spacing w:after="0" w:line="240" w:lineRule="auto"/>
        <w:ind w:left="1233"/>
        <w:rPr>
          <w:rFonts w:ascii="Times New Roman" w:eastAsia="Times New Roman" w:hAnsi="Times New Roman" w:cs="Times New Roman"/>
          <w:color w:val="auto"/>
          <w:sz w:val="24"/>
          <w:szCs w:val="24"/>
          <w:lang w:eastAsia="en-US"/>
        </w:rPr>
      </w:pPr>
    </w:p>
    <w:p w14:paraId="0AABAEF7" w14:textId="77777777" w:rsidR="00E77270" w:rsidRDefault="0086269E" w:rsidP="009564E9">
      <w:pPr>
        <w:pStyle w:val="ListParagraph"/>
        <w:numPr>
          <w:ilvl w:val="0"/>
          <w:numId w:val="30"/>
        </w:numPr>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
          <w:color w:val="auto"/>
          <w:sz w:val="24"/>
          <w:szCs w:val="24"/>
          <w:lang w:eastAsia="en-US"/>
        </w:rPr>
        <w:t>Recreation Ground</w:t>
      </w:r>
      <w:r w:rsidRPr="00AA4475">
        <w:rPr>
          <w:rFonts w:ascii="Times New Roman" w:eastAsia="Times New Roman" w:hAnsi="Times New Roman" w:cs="Times New Roman"/>
          <w:color w:val="auto"/>
          <w:sz w:val="24"/>
          <w:szCs w:val="24"/>
          <w:lang w:eastAsia="en-US"/>
        </w:rPr>
        <w:t>-</w:t>
      </w:r>
    </w:p>
    <w:p w14:paraId="36EB5E16" w14:textId="259D2BE9" w:rsidR="003768E7" w:rsidRDefault="00E77270" w:rsidP="002B1DD2">
      <w:pPr>
        <w:pStyle w:val="ListParagraph"/>
        <w:ind w:left="170"/>
        <w:rPr>
          <w:rFonts w:ascii="Times New Roman" w:eastAsia="Times New Roman" w:hAnsi="Times New Roman" w:cs="Times New Roman"/>
          <w:color w:val="auto"/>
          <w:sz w:val="24"/>
          <w:szCs w:val="24"/>
          <w:lang w:eastAsia="en-US"/>
        </w:rPr>
      </w:pPr>
      <w:r w:rsidRPr="00E77270">
        <w:rPr>
          <w:rFonts w:ascii="Times New Roman" w:eastAsia="Times New Roman" w:hAnsi="Times New Roman" w:cs="Times New Roman"/>
          <w:bCs/>
          <w:color w:val="auto"/>
          <w:sz w:val="24"/>
          <w:szCs w:val="24"/>
          <w:lang w:eastAsia="en-US"/>
        </w:rPr>
        <w:t xml:space="preserve">            </w:t>
      </w:r>
      <w:r w:rsidR="005612DF">
        <w:rPr>
          <w:rFonts w:ascii="Times New Roman" w:eastAsia="Times New Roman" w:hAnsi="Times New Roman" w:cs="Times New Roman"/>
          <w:bCs/>
          <w:color w:val="auto"/>
          <w:sz w:val="24"/>
          <w:szCs w:val="24"/>
          <w:lang w:eastAsia="en-US"/>
        </w:rPr>
        <w:t xml:space="preserve">a) </w:t>
      </w:r>
      <w:r w:rsidR="00470DDA">
        <w:rPr>
          <w:rFonts w:ascii="Times New Roman" w:eastAsia="Times New Roman" w:hAnsi="Times New Roman" w:cs="Times New Roman"/>
          <w:bCs/>
          <w:color w:val="auto"/>
          <w:sz w:val="24"/>
          <w:szCs w:val="24"/>
          <w:lang w:eastAsia="en-US"/>
        </w:rPr>
        <w:t>T</w:t>
      </w:r>
      <w:r w:rsidR="00892B2D" w:rsidRPr="00E77270">
        <w:rPr>
          <w:rFonts w:ascii="Times New Roman" w:eastAsia="Times New Roman" w:hAnsi="Times New Roman" w:cs="Times New Roman"/>
          <w:bCs/>
          <w:color w:val="auto"/>
          <w:sz w:val="24"/>
          <w:szCs w:val="24"/>
          <w:lang w:eastAsia="en-US"/>
        </w:rPr>
        <w:t>o</w:t>
      </w:r>
      <w:r w:rsidR="00892B2D">
        <w:rPr>
          <w:rFonts w:ascii="Times New Roman" w:eastAsia="Times New Roman" w:hAnsi="Times New Roman" w:cs="Times New Roman"/>
          <w:color w:val="auto"/>
          <w:sz w:val="24"/>
          <w:szCs w:val="24"/>
          <w:lang w:eastAsia="en-US"/>
        </w:rPr>
        <w:t xml:space="preserve"> receive the rec checks from councillors and decide on any course of actio</w:t>
      </w:r>
      <w:r w:rsidR="002B1DD2">
        <w:rPr>
          <w:rFonts w:ascii="Times New Roman" w:eastAsia="Times New Roman" w:hAnsi="Times New Roman" w:cs="Times New Roman"/>
          <w:color w:val="auto"/>
          <w:sz w:val="24"/>
          <w:szCs w:val="24"/>
          <w:lang w:eastAsia="en-US"/>
        </w:rPr>
        <w:t>n</w:t>
      </w:r>
    </w:p>
    <w:p w14:paraId="6C3E949D" w14:textId="77777777" w:rsidR="00D95EA7" w:rsidRDefault="00E74C56" w:rsidP="00D95EA7">
      <w:pPr>
        <w:pStyle w:val="ListParagraph"/>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b) Any </w:t>
      </w:r>
      <w:r w:rsidR="00E80404">
        <w:rPr>
          <w:rFonts w:ascii="Times New Roman" w:eastAsia="Times New Roman" w:hAnsi="Times New Roman" w:cs="Times New Roman"/>
          <w:color w:val="auto"/>
          <w:sz w:val="24"/>
          <w:szCs w:val="24"/>
          <w:lang w:eastAsia="en-US"/>
        </w:rPr>
        <w:t>updates</w:t>
      </w:r>
      <w:r>
        <w:rPr>
          <w:rFonts w:ascii="Times New Roman" w:eastAsia="Times New Roman" w:hAnsi="Times New Roman" w:cs="Times New Roman"/>
          <w:color w:val="auto"/>
          <w:sz w:val="24"/>
          <w:szCs w:val="24"/>
          <w:lang w:eastAsia="en-US"/>
        </w:rPr>
        <w:t xml:space="preserve"> from Cllr Dunn on memorial garden</w:t>
      </w:r>
      <w:r w:rsidR="00FB1F1F">
        <w:rPr>
          <w:rFonts w:ascii="Times New Roman" w:eastAsia="Times New Roman" w:hAnsi="Times New Roman" w:cs="Times New Roman"/>
          <w:color w:val="auto"/>
          <w:sz w:val="24"/>
          <w:szCs w:val="24"/>
          <w:lang w:eastAsia="en-US"/>
        </w:rPr>
        <w:t>.</w:t>
      </w:r>
    </w:p>
    <w:p w14:paraId="00858D42" w14:textId="262E3348" w:rsidR="00FB1F1F" w:rsidRPr="00D95EA7" w:rsidRDefault="00D95EA7" w:rsidP="00D95EA7">
      <w:pPr>
        <w:pStyle w:val="ListParagrap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FB1F1F" w:rsidRPr="00D95EA7">
        <w:rPr>
          <w:rFonts w:ascii="Times New Roman" w:eastAsia="Times New Roman" w:hAnsi="Times New Roman" w:cs="Times New Roman"/>
          <w:color w:val="auto"/>
          <w:sz w:val="24"/>
          <w:szCs w:val="24"/>
          <w:lang w:eastAsia="en-US"/>
        </w:rPr>
        <w:t>c) To note there is still £1825 ringfenced in budget from National Lottery grant</w:t>
      </w:r>
      <w:r w:rsidR="003357AB" w:rsidRPr="00D95EA7">
        <w:rPr>
          <w:rFonts w:ascii="Times New Roman" w:eastAsia="Times New Roman" w:hAnsi="Times New Roman" w:cs="Times New Roman"/>
          <w:color w:val="auto"/>
          <w:sz w:val="24"/>
          <w:szCs w:val="24"/>
          <w:lang w:eastAsia="en-US"/>
        </w:rPr>
        <w:t xml:space="preserve">, for further </w:t>
      </w:r>
      <w:r w:rsidRPr="00D95EA7">
        <w:rPr>
          <w:rFonts w:ascii="Times New Roman" w:eastAsia="Times New Roman" w:hAnsi="Times New Roman" w:cs="Times New Roman"/>
          <w:color w:val="auto"/>
          <w:sz w:val="24"/>
          <w:szCs w:val="24"/>
          <w:lang w:eastAsia="en-US"/>
        </w:rPr>
        <w:t xml:space="preserve"> </w:t>
      </w:r>
      <w:r w:rsidR="003357AB" w:rsidRPr="00D95EA7">
        <w:rPr>
          <w:rFonts w:ascii="Times New Roman" w:eastAsia="Times New Roman" w:hAnsi="Times New Roman" w:cs="Times New Roman"/>
          <w:color w:val="auto"/>
          <w:sz w:val="24"/>
          <w:szCs w:val="24"/>
          <w:lang w:eastAsia="en-US"/>
        </w:rPr>
        <w:t>spending if decided.</w:t>
      </w:r>
    </w:p>
    <w:p w14:paraId="54085A7E" w14:textId="000310B4" w:rsidR="009564E9" w:rsidRPr="003B4C67" w:rsidRDefault="009E0371" w:rsidP="003B4C67">
      <w:pPr>
        <w:pStyle w:val="ListParagraph"/>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E77270" w:rsidRPr="003B4C67">
        <w:rPr>
          <w:rFonts w:ascii="Times New Roman" w:eastAsia="Times New Roman" w:hAnsi="Times New Roman" w:cs="Times New Roman"/>
          <w:b/>
          <w:color w:val="auto"/>
          <w:sz w:val="24"/>
          <w:szCs w:val="24"/>
          <w:lang w:eastAsia="en-US"/>
        </w:rPr>
        <w:t xml:space="preserve">                </w:t>
      </w:r>
    </w:p>
    <w:p w14:paraId="77AD65D1" w14:textId="77777777" w:rsidR="00E72763" w:rsidRPr="00E72763" w:rsidRDefault="0086269E" w:rsidP="00142A80">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b/>
          <w:color w:val="auto"/>
          <w:sz w:val="24"/>
          <w:szCs w:val="24"/>
          <w:lang w:eastAsia="en-US"/>
        </w:rPr>
        <w:t>Sports Field</w:t>
      </w:r>
      <w:r w:rsidR="00AA4475" w:rsidRPr="00AA4475">
        <w:rPr>
          <w:rFonts w:ascii="Times New Roman" w:eastAsia="Times New Roman" w:hAnsi="Times New Roman" w:cs="Times New Roman"/>
          <w:color w:val="auto"/>
          <w:sz w:val="24"/>
          <w:szCs w:val="24"/>
          <w:lang w:eastAsia="en-US"/>
        </w:rPr>
        <w:t>-</w:t>
      </w:r>
      <w:r w:rsidR="00AA4475">
        <w:rPr>
          <w:rFonts w:ascii="Times New Roman" w:eastAsia="Times New Roman" w:hAnsi="Times New Roman" w:cs="Times New Roman"/>
          <w:color w:val="auto"/>
          <w:sz w:val="24"/>
          <w:szCs w:val="24"/>
          <w:lang w:eastAsia="en-US"/>
        </w:rPr>
        <w:t xml:space="preserve"> </w:t>
      </w:r>
    </w:p>
    <w:p w14:paraId="02761532" w14:textId="3630C614" w:rsidR="00155563" w:rsidRDefault="00E72763" w:rsidP="0082251F">
      <w:pPr>
        <w:pStyle w:val="ListParagraph"/>
        <w:spacing w:after="0" w:line="240" w:lineRule="auto"/>
        <w:ind w:firstLine="50"/>
        <w:rPr>
          <w:rFonts w:ascii="Times New Roman" w:eastAsia="Times New Roman" w:hAnsi="Times New Roman" w:cs="Times New Roman"/>
          <w:color w:val="auto"/>
          <w:sz w:val="24"/>
          <w:szCs w:val="24"/>
          <w:lang w:eastAsia="en-US"/>
        </w:rPr>
      </w:pPr>
      <w:r w:rsidRPr="005612DF">
        <w:rPr>
          <w:rFonts w:ascii="Times New Roman" w:eastAsia="Times New Roman" w:hAnsi="Times New Roman" w:cs="Times New Roman"/>
          <w:bCs/>
          <w:color w:val="auto"/>
          <w:sz w:val="24"/>
          <w:szCs w:val="24"/>
          <w:lang w:eastAsia="en-US"/>
        </w:rPr>
        <w:t>a)</w:t>
      </w:r>
      <w:r>
        <w:rPr>
          <w:rFonts w:ascii="Times New Roman" w:eastAsia="Times New Roman" w:hAnsi="Times New Roman" w:cs="Times New Roman"/>
          <w:b/>
          <w:color w:val="auto"/>
          <w:sz w:val="24"/>
          <w:szCs w:val="24"/>
          <w:lang w:eastAsia="en-US"/>
        </w:rPr>
        <w:t xml:space="preserve"> </w:t>
      </w:r>
      <w:r w:rsidR="00687396">
        <w:rPr>
          <w:rFonts w:ascii="Times New Roman" w:eastAsia="Times New Roman" w:hAnsi="Times New Roman" w:cs="Times New Roman"/>
          <w:color w:val="auto"/>
          <w:sz w:val="24"/>
          <w:szCs w:val="24"/>
          <w:lang w:eastAsia="en-US"/>
        </w:rPr>
        <w:t>To receive a report from C</w:t>
      </w:r>
      <w:r w:rsidR="0086269E" w:rsidRPr="00AA4475">
        <w:rPr>
          <w:rFonts w:ascii="Times New Roman" w:eastAsia="Times New Roman" w:hAnsi="Times New Roman" w:cs="Times New Roman"/>
          <w:color w:val="auto"/>
          <w:sz w:val="24"/>
          <w:szCs w:val="24"/>
          <w:lang w:eastAsia="en-US"/>
        </w:rPr>
        <w:t>llr Maxwell</w:t>
      </w:r>
      <w:r w:rsidR="00687396">
        <w:rPr>
          <w:rFonts w:ascii="Times New Roman" w:eastAsia="Times New Roman" w:hAnsi="Times New Roman" w:cs="Times New Roman"/>
          <w:color w:val="auto"/>
          <w:sz w:val="24"/>
          <w:szCs w:val="24"/>
          <w:lang w:eastAsia="en-US"/>
        </w:rPr>
        <w:t xml:space="preserve"> </w:t>
      </w:r>
      <w:r w:rsidR="003B4C67">
        <w:rPr>
          <w:rFonts w:ascii="Times New Roman" w:eastAsia="Times New Roman" w:hAnsi="Times New Roman" w:cs="Times New Roman"/>
          <w:color w:val="auto"/>
          <w:sz w:val="24"/>
          <w:szCs w:val="24"/>
          <w:lang w:eastAsia="en-US"/>
        </w:rPr>
        <w:t>and decide on any course of action</w:t>
      </w:r>
    </w:p>
    <w:p w14:paraId="696001F2" w14:textId="1E3D262B" w:rsidR="00DA311A" w:rsidRPr="00D95EA7" w:rsidRDefault="00E72763" w:rsidP="00D95EA7">
      <w:pPr>
        <w:pStyle w:val="ListParagraph"/>
        <w:spacing w:after="0" w:line="240" w:lineRule="auto"/>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b) </w:t>
      </w:r>
      <w:r w:rsidR="00973C9A">
        <w:rPr>
          <w:rFonts w:ascii="Times New Roman" w:eastAsia="Times New Roman" w:hAnsi="Times New Roman" w:cs="Times New Roman"/>
          <w:color w:val="auto"/>
          <w:sz w:val="24"/>
          <w:szCs w:val="24"/>
          <w:lang w:eastAsia="en-US"/>
        </w:rPr>
        <w:t>To note a change of self</w:t>
      </w:r>
      <w:r w:rsidR="008C62F8">
        <w:rPr>
          <w:rFonts w:ascii="Times New Roman" w:eastAsia="Times New Roman" w:hAnsi="Times New Roman" w:cs="Times New Roman"/>
          <w:color w:val="auto"/>
          <w:sz w:val="24"/>
          <w:szCs w:val="24"/>
          <w:lang w:eastAsia="en-US"/>
        </w:rPr>
        <w:t>-</w:t>
      </w:r>
      <w:r w:rsidR="00973C9A">
        <w:rPr>
          <w:rFonts w:ascii="Times New Roman" w:eastAsia="Times New Roman" w:hAnsi="Times New Roman" w:cs="Times New Roman"/>
          <w:color w:val="auto"/>
          <w:sz w:val="24"/>
          <w:szCs w:val="24"/>
          <w:lang w:eastAsia="en-US"/>
        </w:rPr>
        <w:t>employed cleaner and that the rate has increased.</w:t>
      </w:r>
    </w:p>
    <w:p w14:paraId="7505ABB5" w14:textId="6025778B" w:rsidR="000A1DE8" w:rsidRPr="00142A80" w:rsidRDefault="0082251F" w:rsidP="00687396">
      <w:pPr>
        <w:pStyle w:val="ListParagraph"/>
        <w:spacing w:after="0" w:line="240" w:lineRule="auto"/>
        <w:ind w:left="17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color w:val="auto"/>
          <w:sz w:val="24"/>
          <w:szCs w:val="24"/>
          <w:lang w:eastAsia="en-US"/>
        </w:rPr>
        <w:tab/>
        <w:t xml:space="preserve"> </w:t>
      </w:r>
    </w:p>
    <w:p w14:paraId="68216D31" w14:textId="175C48C7" w:rsidR="00582FFB" w:rsidRPr="00582FFB" w:rsidRDefault="00E61DD1" w:rsidP="00582FFB">
      <w:pPr>
        <w:numPr>
          <w:ilvl w:val="0"/>
          <w:numId w:val="30"/>
        </w:numPr>
        <w:spacing w:after="0" w:line="240" w:lineRule="auto"/>
        <w:contextualSpacing/>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582FFB" w:rsidRPr="00582FFB">
        <w:rPr>
          <w:rFonts w:ascii="Times New Roman" w:eastAsia="Times New Roman" w:hAnsi="Times New Roman" w:cs="Times New Roman"/>
          <w:b/>
          <w:color w:val="auto"/>
          <w:sz w:val="24"/>
          <w:szCs w:val="24"/>
          <w:lang w:eastAsia="en-US"/>
        </w:rPr>
        <w:t>Community Matters</w:t>
      </w:r>
      <w:r w:rsidR="00B207F9">
        <w:rPr>
          <w:rFonts w:ascii="Times New Roman" w:eastAsia="Times New Roman" w:hAnsi="Times New Roman" w:cs="Times New Roman"/>
          <w:b/>
          <w:color w:val="auto"/>
          <w:sz w:val="24"/>
          <w:szCs w:val="24"/>
          <w:lang w:eastAsia="en-US"/>
        </w:rPr>
        <w:t>/Updates</w:t>
      </w:r>
      <w:r w:rsidR="00582FFB" w:rsidRPr="00582FFB">
        <w:rPr>
          <w:rFonts w:ascii="Times New Roman" w:eastAsia="Times New Roman" w:hAnsi="Times New Roman" w:cs="Times New Roman"/>
          <w:b/>
          <w:color w:val="auto"/>
          <w:sz w:val="24"/>
          <w:szCs w:val="24"/>
          <w:lang w:eastAsia="en-US"/>
        </w:rPr>
        <w:t>-</w:t>
      </w:r>
    </w:p>
    <w:p w14:paraId="3471B27A" w14:textId="5150303E" w:rsidR="00DA311A" w:rsidRDefault="00B207F9"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0304BD">
        <w:rPr>
          <w:rFonts w:ascii="Times New Roman" w:eastAsia="Times New Roman" w:hAnsi="Times New Roman" w:cs="Times New Roman"/>
          <w:bCs/>
          <w:color w:val="auto"/>
          <w:sz w:val="24"/>
          <w:szCs w:val="24"/>
          <w:lang w:eastAsia="en-US"/>
        </w:rPr>
        <w:t xml:space="preserve"> a)</w:t>
      </w:r>
      <w:r w:rsidR="00D718BB">
        <w:rPr>
          <w:rFonts w:ascii="Times New Roman" w:eastAsia="Times New Roman" w:hAnsi="Times New Roman" w:cs="Times New Roman"/>
          <w:bCs/>
          <w:color w:val="auto"/>
          <w:sz w:val="24"/>
          <w:szCs w:val="24"/>
          <w:lang w:eastAsia="en-US"/>
        </w:rPr>
        <w:t xml:space="preserve"> </w:t>
      </w:r>
      <w:r w:rsidR="006B6163">
        <w:rPr>
          <w:rFonts w:ascii="Times New Roman" w:eastAsia="Times New Roman" w:hAnsi="Times New Roman" w:cs="Times New Roman"/>
          <w:bCs/>
          <w:color w:val="auto"/>
          <w:sz w:val="24"/>
          <w:szCs w:val="24"/>
          <w:lang w:eastAsia="en-US"/>
        </w:rPr>
        <w:t>Bowls Club- new signage- have asked whether PC could pay half amount-£</w:t>
      </w:r>
      <w:r w:rsidR="00D95EA7">
        <w:rPr>
          <w:rFonts w:ascii="Times New Roman" w:eastAsia="Times New Roman" w:hAnsi="Times New Roman" w:cs="Times New Roman"/>
          <w:bCs/>
          <w:color w:val="auto"/>
          <w:sz w:val="24"/>
          <w:szCs w:val="24"/>
          <w:lang w:eastAsia="en-US"/>
        </w:rPr>
        <w:t>265&amp;VAT</w:t>
      </w:r>
    </w:p>
    <w:p w14:paraId="0AE91EB5" w14:textId="573E44C8" w:rsidR="000500C4" w:rsidRDefault="000500C4"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lastRenderedPageBreak/>
        <w:t xml:space="preserve">             </w:t>
      </w:r>
      <w:r w:rsidR="000304BD">
        <w:rPr>
          <w:rFonts w:ascii="Times New Roman" w:eastAsia="Times New Roman" w:hAnsi="Times New Roman" w:cs="Times New Roman"/>
          <w:bCs/>
          <w:color w:val="auto"/>
          <w:sz w:val="24"/>
          <w:szCs w:val="24"/>
          <w:lang w:eastAsia="en-US"/>
        </w:rPr>
        <w:t>b)</w:t>
      </w:r>
      <w:r w:rsidR="00D718BB">
        <w:rPr>
          <w:rFonts w:ascii="Times New Roman" w:eastAsia="Times New Roman" w:hAnsi="Times New Roman" w:cs="Times New Roman"/>
          <w:bCs/>
          <w:color w:val="auto"/>
          <w:sz w:val="24"/>
          <w:szCs w:val="24"/>
          <w:lang w:eastAsia="en-US"/>
        </w:rPr>
        <w:t xml:space="preserve"> </w:t>
      </w:r>
      <w:r w:rsidR="000304BD">
        <w:rPr>
          <w:rFonts w:ascii="Times New Roman" w:eastAsia="Times New Roman" w:hAnsi="Times New Roman" w:cs="Times New Roman"/>
          <w:bCs/>
          <w:color w:val="auto"/>
          <w:sz w:val="24"/>
          <w:szCs w:val="24"/>
          <w:lang w:eastAsia="en-US"/>
        </w:rPr>
        <w:t>Lowick Road planting scheme- updates</w:t>
      </w:r>
    </w:p>
    <w:p w14:paraId="0AE18261" w14:textId="5D9D6B52" w:rsidR="00F63B0E" w:rsidRDefault="00F63B0E"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c) </w:t>
      </w:r>
      <w:r w:rsidR="00E80404">
        <w:rPr>
          <w:rFonts w:ascii="Times New Roman" w:eastAsia="Times New Roman" w:hAnsi="Times New Roman" w:cs="Times New Roman"/>
          <w:bCs/>
          <w:color w:val="auto"/>
          <w:sz w:val="24"/>
          <w:szCs w:val="24"/>
          <w:lang w:eastAsia="en-US"/>
        </w:rPr>
        <w:t>Cllr Lymn to update on any Police Liaison matters</w:t>
      </w:r>
    </w:p>
    <w:p w14:paraId="7B2B0985" w14:textId="2E3600D7" w:rsidR="002E1C73" w:rsidRDefault="002E1C73"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d) Launch of STAUNCH campaign- circulated. Decide whether the council wishes to be part of it.</w:t>
      </w:r>
    </w:p>
    <w:p w14:paraId="68CB008F" w14:textId="0DA0F950" w:rsidR="007F5CDE" w:rsidRDefault="007F5CDE"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e) To note that Cllr Lymn attended memorial service on the 7</w:t>
      </w:r>
      <w:r w:rsidRPr="007F5CDE">
        <w:rPr>
          <w:rFonts w:ascii="Times New Roman" w:eastAsia="Times New Roman" w:hAnsi="Times New Roman" w:cs="Times New Roman"/>
          <w:bCs/>
          <w:color w:val="auto"/>
          <w:sz w:val="24"/>
          <w:szCs w:val="24"/>
          <w:vertAlign w:val="superscript"/>
          <w:lang w:eastAsia="en-US"/>
        </w:rPr>
        <w:t>th</w:t>
      </w:r>
      <w:r>
        <w:rPr>
          <w:rFonts w:ascii="Times New Roman" w:eastAsia="Times New Roman" w:hAnsi="Times New Roman" w:cs="Times New Roman"/>
          <w:bCs/>
          <w:color w:val="auto"/>
          <w:sz w:val="24"/>
          <w:szCs w:val="24"/>
          <w:lang w:eastAsia="en-US"/>
        </w:rPr>
        <w:t xml:space="preserve"> November, and agree to donate £50 to the Royal British Legion using Sec 137 legislation- in the interests of the inhabitants of Islip</w:t>
      </w:r>
    </w:p>
    <w:p w14:paraId="73891919" w14:textId="5D6BE109" w:rsidR="009752FF" w:rsidRDefault="009752FF"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f) To consider whether to plant a tree for the Queens Green Canopy via the Woodland Trust and to identify a suitable place</w:t>
      </w:r>
      <w:r w:rsidR="00CE0497">
        <w:rPr>
          <w:rFonts w:ascii="Times New Roman" w:eastAsia="Times New Roman" w:hAnsi="Times New Roman" w:cs="Times New Roman"/>
          <w:bCs/>
          <w:color w:val="auto"/>
          <w:sz w:val="24"/>
          <w:szCs w:val="24"/>
          <w:lang w:eastAsia="en-US"/>
        </w:rPr>
        <w:t xml:space="preserve">  </w:t>
      </w:r>
      <w:hyperlink r:id="rId9" w:history="1">
        <w:r w:rsidR="00CE0497" w:rsidRPr="00CE0497">
          <w:rPr>
            <w:rStyle w:val="Hyperlink"/>
            <w:rFonts w:ascii="Times New Roman" w:eastAsia="Times New Roman" w:hAnsi="Times New Roman" w:cs="Times New Roman"/>
            <w:bCs/>
            <w:sz w:val="24"/>
            <w:szCs w:val="24"/>
            <w:lang w:eastAsia="en-US"/>
          </w:rPr>
          <w:t>www.woodlandtrust.org.uk/</w:t>
        </w:r>
      </w:hyperlink>
    </w:p>
    <w:p w14:paraId="0B508CA4" w14:textId="4670D1AF" w:rsidR="009752FF" w:rsidRDefault="009752FF"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g) </w:t>
      </w:r>
      <w:r w:rsidRPr="009752FF">
        <w:rPr>
          <w:rFonts w:ascii="Times New Roman" w:eastAsia="Times New Roman" w:hAnsi="Times New Roman" w:cs="Times New Roman"/>
          <w:bCs/>
          <w:color w:val="auto"/>
          <w:sz w:val="24"/>
          <w:szCs w:val="24"/>
          <w:lang w:eastAsia="en-US"/>
        </w:rPr>
        <w:t>Queens Platinum Jubilee- request for councils to consider lighting a beacon on 9.15pm on 2nd June 2022. Further details available</w:t>
      </w:r>
    </w:p>
    <w:p w14:paraId="670B506E" w14:textId="78DB2FA0" w:rsidR="00DA311A" w:rsidRDefault="00EA75D0" w:rsidP="006B6163">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p>
    <w:p w14:paraId="5D150BE4" w14:textId="6F3D575E" w:rsidR="00B207F9" w:rsidRPr="00582FFB" w:rsidRDefault="00B207F9"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p>
    <w:p w14:paraId="4D03FC1C" w14:textId="11288F26" w:rsidR="0086269E" w:rsidRPr="00E369F5" w:rsidRDefault="0086269E"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582FFB">
        <w:rPr>
          <w:rFonts w:ascii="Times New Roman" w:eastAsia="Times New Roman" w:hAnsi="Times New Roman" w:cs="Times New Roman"/>
          <w:b/>
          <w:color w:val="auto"/>
          <w:sz w:val="24"/>
          <w:szCs w:val="24"/>
          <w:lang w:eastAsia="en-US"/>
        </w:rPr>
        <w:t>To receive District &amp; County Councillors’</w:t>
      </w:r>
      <w:r w:rsidRPr="00582FFB">
        <w:rPr>
          <w:rFonts w:ascii="Times New Roman" w:eastAsia="Times New Roman" w:hAnsi="Times New Roman" w:cs="Times New Roman"/>
          <w:color w:val="auto"/>
          <w:sz w:val="24"/>
          <w:szCs w:val="24"/>
          <w:lang w:eastAsia="en-US"/>
        </w:rPr>
        <w:t xml:space="preserve"> Reports – For Information Only</w:t>
      </w:r>
    </w:p>
    <w:p w14:paraId="7BD8911D" w14:textId="77777777" w:rsidR="005523B6" w:rsidRPr="00F25A80" w:rsidRDefault="005523B6" w:rsidP="00F25A80">
      <w:pPr>
        <w:spacing w:after="0" w:line="240" w:lineRule="auto"/>
        <w:rPr>
          <w:rFonts w:ascii="Times New Roman" w:eastAsia="Times New Roman" w:hAnsi="Times New Roman" w:cs="Times New Roman"/>
          <w:b/>
          <w:color w:val="auto"/>
          <w:sz w:val="24"/>
          <w:szCs w:val="24"/>
          <w:lang w:eastAsia="en-US"/>
        </w:rPr>
      </w:pPr>
    </w:p>
    <w:p w14:paraId="0EE324E5" w14:textId="0A604215" w:rsidR="004A445F" w:rsidRPr="00D95EA7" w:rsidRDefault="00582FFB" w:rsidP="00D95EA7">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the Clerk’s Update</w:t>
      </w:r>
      <w:r w:rsidR="0086269E" w:rsidRPr="00582FFB">
        <w:rPr>
          <w:rFonts w:ascii="Times New Roman" w:eastAsia="Times New Roman" w:hAnsi="Times New Roman" w:cs="Times New Roman"/>
          <w:color w:val="auto"/>
          <w:sz w:val="24"/>
          <w:szCs w:val="24"/>
          <w:lang w:eastAsia="en-US"/>
        </w:rPr>
        <w:t xml:space="preserve"> and correspondence received-</w:t>
      </w:r>
    </w:p>
    <w:p w14:paraId="609ADC35" w14:textId="3C0C1EDD" w:rsidR="009E0371" w:rsidRDefault="00D95EA7" w:rsidP="00E80404">
      <w:pPr>
        <w:pStyle w:val="ListParagraph"/>
        <w:spacing w:after="0" w:line="240" w:lineRule="auto"/>
        <w:ind w:left="83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a</w:t>
      </w:r>
      <w:r w:rsidR="009E0371">
        <w:rPr>
          <w:rFonts w:ascii="Times New Roman" w:eastAsia="Times New Roman" w:hAnsi="Times New Roman" w:cs="Times New Roman"/>
          <w:bCs/>
          <w:color w:val="auto"/>
          <w:sz w:val="24"/>
          <w:szCs w:val="24"/>
          <w:lang w:eastAsia="en-US"/>
        </w:rPr>
        <w:t xml:space="preserve">) Town &amp; Parish Forum- </w:t>
      </w:r>
      <w:r w:rsidR="000916EC">
        <w:rPr>
          <w:rFonts w:ascii="Times New Roman" w:eastAsia="Times New Roman" w:hAnsi="Times New Roman" w:cs="Times New Roman"/>
          <w:bCs/>
          <w:color w:val="auto"/>
          <w:sz w:val="24"/>
          <w:szCs w:val="24"/>
          <w:lang w:eastAsia="en-US"/>
        </w:rPr>
        <w:t>brief report</w:t>
      </w:r>
    </w:p>
    <w:p w14:paraId="5DA9D9B3" w14:textId="77777777" w:rsidR="00451C04" w:rsidRDefault="006E5F3D" w:rsidP="00451C04">
      <w:pPr>
        <w:pStyle w:val="ListParagraph"/>
        <w:spacing w:after="0" w:line="240" w:lineRule="auto"/>
        <w:ind w:left="17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3B4C67">
        <w:rPr>
          <w:rFonts w:ascii="Times New Roman" w:eastAsia="Times New Roman" w:hAnsi="Times New Roman" w:cs="Times New Roman"/>
          <w:bCs/>
          <w:color w:val="auto"/>
          <w:sz w:val="24"/>
          <w:szCs w:val="24"/>
          <w:lang w:eastAsia="en-US"/>
        </w:rPr>
        <w:t>b</w:t>
      </w:r>
      <w:r w:rsidR="00487CBD">
        <w:rPr>
          <w:rFonts w:ascii="Times New Roman" w:eastAsia="Times New Roman" w:hAnsi="Times New Roman" w:cs="Times New Roman"/>
          <w:bCs/>
          <w:color w:val="auto"/>
          <w:sz w:val="24"/>
          <w:szCs w:val="24"/>
          <w:lang w:eastAsia="en-US"/>
        </w:rPr>
        <w:t>) Clerk to attend a webinar 24</w:t>
      </w:r>
      <w:r w:rsidR="00487CBD" w:rsidRPr="00487CBD">
        <w:rPr>
          <w:rFonts w:ascii="Times New Roman" w:eastAsia="Times New Roman" w:hAnsi="Times New Roman" w:cs="Times New Roman"/>
          <w:bCs/>
          <w:color w:val="auto"/>
          <w:sz w:val="24"/>
          <w:szCs w:val="24"/>
          <w:vertAlign w:val="superscript"/>
          <w:lang w:eastAsia="en-US"/>
        </w:rPr>
        <w:t>th</w:t>
      </w:r>
      <w:r w:rsidR="00487CBD">
        <w:rPr>
          <w:rFonts w:ascii="Times New Roman" w:eastAsia="Times New Roman" w:hAnsi="Times New Roman" w:cs="Times New Roman"/>
          <w:bCs/>
          <w:color w:val="auto"/>
          <w:sz w:val="24"/>
          <w:szCs w:val="24"/>
          <w:lang w:eastAsia="en-US"/>
        </w:rPr>
        <w:t xml:space="preserve"> Nov-on portable CCTV for the Safer Streets Initiative </w:t>
      </w:r>
    </w:p>
    <w:p w14:paraId="280267FB" w14:textId="36D78378" w:rsidR="00451C04" w:rsidRPr="00451C04" w:rsidRDefault="00451C04" w:rsidP="00451C04">
      <w:pPr>
        <w:pStyle w:val="ListParagraph"/>
        <w:spacing w:after="0" w:line="240" w:lineRule="auto"/>
        <w:ind w:left="170"/>
        <w:rPr>
          <w:rFonts w:ascii="Times New Roman" w:eastAsia="Times New Roman" w:hAnsi="Times New Roman" w:cs="Times New Roman"/>
          <w:bCs/>
          <w:color w:val="auto"/>
          <w:sz w:val="24"/>
          <w:szCs w:val="24"/>
          <w:lang w:eastAsia="en-US"/>
        </w:rPr>
      </w:pPr>
      <w:r w:rsidRPr="00451C04">
        <w:rPr>
          <w:rFonts w:ascii="Times New Roman" w:eastAsia="Times New Roman" w:hAnsi="Times New Roman" w:cs="Times New Roman"/>
          <w:bCs/>
          <w:color w:val="auto"/>
          <w:sz w:val="24"/>
          <w:szCs w:val="24"/>
          <w:lang w:eastAsia="en-US"/>
        </w:rPr>
        <w:t>.</w:t>
      </w:r>
    </w:p>
    <w:p w14:paraId="12972039" w14:textId="6459939B" w:rsidR="00E6282D" w:rsidRPr="00E6282D" w:rsidRDefault="009D139E" w:rsidP="0091232D">
      <w:pPr>
        <w:pStyle w:val="ListParagraph"/>
        <w:spacing w:after="0" w:line="240" w:lineRule="auto"/>
        <w:ind w:left="17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p>
    <w:p w14:paraId="3606903A" w14:textId="47F6F3D9" w:rsidR="0086269E" w:rsidRPr="00EE3F73"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B207F9">
        <w:rPr>
          <w:rFonts w:ascii="Times New Roman" w:eastAsia="Times New Roman" w:hAnsi="Times New Roman" w:cs="Times New Roman"/>
          <w:b/>
          <w:color w:val="auto"/>
          <w:sz w:val="24"/>
          <w:szCs w:val="24"/>
          <w:lang w:eastAsia="en-US"/>
        </w:rPr>
        <w:t>Opportunity to update colleagues</w:t>
      </w:r>
      <w:r w:rsidR="003826C0" w:rsidRPr="00582FFB">
        <w:rPr>
          <w:rFonts w:ascii="Times New Roman" w:eastAsia="Times New Roman" w:hAnsi="Times New Roman" w:cs="Times New Roman"/>
          <w:color w:val="auto"/>
          <w:sz w:val="24"/>
          <w:szCs w:val="24"/>
          <w:lang w:eastAsia="en-US"/>
        </w:rPr>
        <w:t xml:space="preserve"> – For Information Only</w:t>
      </w:r>
    </w:p>
    <w:p w14:paraId="5E1E2AB0" w14:textId="3C777BC4" w:rsidR="005523B6" w:rsidRPr="002E21F3" w:rsidRDefault="005523B6" w:rsidP="002E21F3">
      <w:pPr>
        <w:spacing w:after="0" w:line="240" w:lineRule="auto"/>
        <w:rPr>
          <w:rFonts w:ascii="Times New Roman" w:eastAsia="Times New Roman" w:hAnsi="Times New Roman" w:cs="Times New Roman"/>
          <w:b/>
          <w:color w:val="auto"/>
          <w:sz w:val="24"/>
          <w:szCs w:val="24"/>
          <w:lang w:eastAsia="en-US"/>
        </w:rPr>
      </w:pPr>
    </w:p>
    <w:p w14:paraId="250BC8F2" w14:textId="312D5D87" w:rsidR="0086269E" w:rsidRPr="00CE1C80" w:rsidRDefault="00582FFB" w:rsidP="0086269E">
      <w:pPr>
        <w:pStyle w:val="ListParagraph"/>
        <w:numPr>
          <w:ilvl w:val="0"/>
          <w:numId w:val="30"/>
        </w:num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Close of meeting</w:t>
      </w:r>
      <w:r>
        <w:rPr>
          <w:rFonts w:ascii="Times New Roman" w:eastAsia="Times New Roman" w:hAnsi="Times New Roman" w:cs="Times New Roman"/>
          <w:b/>
          <w:color w:val="auto"/>
          <w:sz w:val="24"/>
          <w:szCs w:val="24"/>
          <w:lang w:eastAsia="en-US"/>
        </w:rPr>
        <w:t xml:space="preserve">- </w:t>
      </w:r>
      <w:r w:rsidR="00737C75">
        <w:rPr>
          <w:rFonts w:ascii="Times New Roman" w:eastAsia="Times New Roman" w:hAnsi="Times New Roman" w:cs="Times New Roman"/>
          <w:bCs/>
          <w:color w:val="auto"/>
          <w:sz w:val="24"/>
          <w:szCs w:val="24"/>
          <w:lang w:eastAsia="en-US"/>
        </w:rPr>
        <w:t xml:space="preserve">Next meeting </w:t>
      </w:r>
      <w:r w:rsidR="00504989">
        <w:rPr>
          <w:rFonts w:ascii="Times New Roman" w:eastAsia="Times New Roman" w:hAnsi="Times New Roman" w:cs="Times New Roman"/>
          <w:bCs/>
          <w:color w:val="auto"/>
          <w:sz w:val="24"/>
          <w:szCs w:val="24"/>
          <w:lang w:eastAsia="en-US"/>
        </w:rPr>
        <w:t>–</w:t>
      </w:r>
      <w:r w:rsidR="000916EC">
        <w:rPr>
          <w:rFonts w:ascii="Times New Roman" w:eastAsia="Times New Roman" w:hAnsi="Times New Roman" w:cs="Times New Roman"/>
          <w:bCs/>
          <w:color w:val="auto"/>
          <w:sz w:val="24"/>
          <w:szCs w:val="24"/>
          <w:lang w:eastAsia="en-US"/>
        </w:rPr>
        <w:t>TBD  Third Tuesday in month is 21</w:t>
      </w:r>
      <w:r w:rsidR="000916EC" w:rsidRPr="000916EC">
        <w:rPr>
          <w:rFonts w:ascii="Times New Roman" w:eastAsia="Times New Roman" w:hAnsi="Times New Roman" w:cs="Times New Roman"/>
          <w:bCs/>
          <w:color w:val="auto"/>
          <w:sz w:val="24"/>
          <w:szCs w:val="24"/>
          <w:vertAlign w:val="superscript"/>
          <w:lang w:eastAsia="en-US"/>
        </w:rPr>
        <w:t>st</w:t>
      </w:r>
      <w:r w:rsidR="000916EC">
        <w:rPr>
          <w:rFonts w:ascii="Times New Roman" w:eastAsia="Times New Roman" w:hAnsi="Times New Roman" w:cs="Times New Roman"/>
          <w:bCs/>
          <w:color w:val="auto"/>
          <w:sz w:val="24"/>
          <w:szCs w:val="24"/>
          <w:lang w:eastAsia="en-US"/>
        </w:rPr>
        <w:t xml:space="preserve"> December- possibly move to 14</w:t>
      </w:r>
      <w:r w:rsidR="000916EC" w:rsidRPr="000916EC">
        <w:rPr>
          <w:rFonts w:ascii="Times New Roman" w:eastAsia="Times New Roman" w:hAnsi="Times New Roman" w:cs="Times New Roman"/>
          <w:bCs/>
          <w:color w:val="auto"/>
          <w:sz w:val="24"/>
          <w:szCs w:val="24"/>
          <w:vertAlign w:val="superscript"/>
          <w:lang w:eastAsia="en-US"/>
        </w:rPr>
        <w:t>th</w:t>
      </w:r>
      <w:r w:rsidR="000916EC">
        <w:rPr>
          <w:rFonts w:ascii="Times New Roman" w:eastAsia="Times New Roman" w:hAnsi="Times New Roman" w:cs="Times New Roman"/>
          <w:bCs/>
          <w:color w:val="auto"/>
          <w:sz w:val="24"/>
          <w:szCs w:val="24"/>
          <w:lang w:eastAsia="en-US"/>
        </w:rPr>
        <w:t xml:space="preserve"> December?</w:t>
      </w:r>
      <w:r w:rsidR="00F63B0E">
        <w:rPr>
          <w:rFonts w:ascii="Times New Roman" w:eastAsia="Times New Roman" w:hAnsi="Times New Roman" w:cs="Times New Roman"/>
          <w:bCs/>
          <w:color w:val="auto"/>
          <w:sz w:val="24"/>
          <w:szCs w:val="24"/>
          <w:lang w:eastAsia="en-US"/>
        </w:rPr>
        <w:t xml:space="preserve"> </w:t>
      </w:r>
      <w:r w:rsidR="00504989">
        <w:rPr>
          <w:rFonts w:ascii="Times New Roman" w:eastAsia="Times New Roman" w:hAnsi="Times New Roman" w:cs="Times New Roman"/>
          <w:bCs/>
          <w:color w:val="auto"/>
          <w:sz w:val="24"/>
          <w:szCs w:val="24"/>
          <w:lang w:eastAsia="en-US"/>
        </w:rPr>
        <w:t xml:space="preserve"> </w:t>
      </w:r>
      <w:r w:rsidR="00C53DB6">
        <w:rPr>
          <w:rFonts w:ascii="Times New Roman" w:eastAsia="Times New Roman" w:hAnsi="Times New Roman" w:cs="Times New Roman"/>
          <w:bCs/>
          <w:color w:val="auto"/>
          <w:sz w:val="24"/>
          <w:szCs w:val="24"/>
          <w:lang w:eastAsia="en-US"/>
        </w:rPr>
        <w:t>7.15pm</w:t>
      </w:r>
    </w:p>
    <w:p w14:paraId="329D699D" w14:textId="5BE96E6C" w:rsidR="0086269E" w:rsidRPr="00AA4475" w:rsidRDefault="0086269E" w:rsidP="00757522">
      <w:pPr>
        <w:spacing w:after="0"/>
        <w:rPr>
          <w:rFonts w:ascii="Arial" w:hAnsi="Arial" w:cs="Arial"/>
          <w:sz w:val="24"/>
          <w:szCs w:val="24"/>
        </w:rPr>
      </w:pPr>
    </w:p>
    <w:p w14:paraId="61A5C982" w14:textId="30306814" w:rsidR="0086269E" w:rsidRDefault="0086269E" w:rsidP="0086269E">
      <w:pPr>
        <w:spacing w:after="0"/>
        <w:ind w:left="513" w:firstLine="720"/>
        <w:rPr>
          <w:rFonts w:ascii="Arial" w:hAnsi="Arial" w:cs="Arial"/>
        </w:rPr>
      </w:pPr>
    </w:p>
    <w:p w14:paraId="7762CA73" w14:textId="1C8BF6D0" w:rsidR="00F72C43" w:rsidRDefault="00F72C43" w:rsidP="001813B2">
      <w:pPr>
        <w:spacing w:after="0"/>
        <w:rPr>
          <w:b/>
        </w:rPr>
      </w:pPr>
    </w:p>
    <w:p w14:paraId="4088467B" w14:textId="1D08F170" w:rsidR="00381F63" w:rsidRDefault="00381F63" w:rsidP="001813B2">
      <w:pPr>
        <w:spacing w:after="0"/>
        <w:rPr>
          <w:b/>
        </w:rPr>
      </w:pPr>
    </w:p>
    <w:p w14:paraId="68C55BA9" w14:textId="0673190B" w:rsidR="00C53DB6" w:rsidRDefault="00C53DB6" w:rsidP="00721282">
      <w:pPr>
        <w:spacing w:after="0"/>
        <w:ind w:left="170"/>
        <w:rPr>
          <w:b/>
        </w:rPr>
      </w:pPr>
    </w:p>
    <w:p w14:paraId="24C3CBED" w14:textId="08947B97" w:rsidR="00721282" w:rsidRDefault="00721282" w:rsidP="00BA5B42">
      <w:pPr>
        <w:spacing w:after="0"/>
        <w:rPr>
          <w:b/>
        </w:rPr>
      </w:pPr>
    </w:p>
    <w:p w14:paraId="4355F2FF" w14:textId="535801BE" w:rsidR="00721282" w:rsidRDefault="00721282" w:rsidP="00BA5B42">
      <w:pPr>
        <w:spacing w:after="0"/>
        <w:rPr>
          <w:b/>
        </w:rPr>
      </w:pPr>
    </w:p>
    <w:p w14:paraId="7247BF72" w14:textId="4588680F" w:rsidR="00721282" w:rsidRDefault="00721282" w:rsidP="00BA5B42">
      <w:pPr>
        <w:spacing w:after="0"/>
        <w:rPr>
          <w:b/>
        </w:rPr>
      </w:pPr>
    </w:p>
    <w:p w14:paraId="1D0CD3CE" w14:textId="10263CD6" w:rsidR="00721282" w:rsidRDefault="00721282" w:rsidP="00BA5B42">
      <w:pPr>
        <w:spacing w:after="0"/>
        <w:rPr>
          <w:b/>
        </w:rPr>
      </w:pPr>
    </w:p>
    <w:p w14:paraId="25F89DA8" w14:textId="4DC50D8C" w:rsidR="00721282" w:rsidRDefault="00721282" w:rsidP="00BA5B42">
      <w:pPr>
        <w:spacing w:after="0"/>
        <w:rPr>
          <w:b/>
        </w:rPr>
      </w:pPr>
    </w:p>
    <w:p w14:paraId="1BA593B2" w14:textId="3A1FD35B" w:rsidR="00721282" w:rsidRDefault="00721282" w:rsidP="00BA5B42">
      <w:pPr>
        <w:spacing w:after="0"/>
        <w:rPr>
          <w:b/>
        </w:rPr>
      </w:pPr>
    </w:p>
    <w:p w14:paraId="71FC0CAB" w14:textId="6D7EE851" w:rsidR="00721282" w:rsidRDefault="00721282" w:rsidP="00BA5B42">
      <w:pPr>
        <w:spacing w:after="0"/>
        <w:rPr>
          <w:b/>
        </w:rPr>
      </w:pPr>
    </w:p>
    <w:p w14:paraId="38A3505B" w14:textId="6C4E804F" w:rsidR="00721282" w:rsidRDefault="00721282" w:rsidP="00BA5B42">
      <w:pPr>
        <w:spacing w:after="0"/>
        <w:rPr>
          <w:b/>
        </w:rPr>
      </w:pPr>
    </w:p>
    <w:p w14:paraId="1A9D3AF5" w14:textId="1CEB7DFB" w:rsidR="00721282" w:rsidRDefault="00721282" w:rsidP="00BA5B42">
      <w:pPr>
        <w:spacing w:after="0"/>
        <w:rPr>
          <w:b/>
        </w:rPr>
      </w:pPr>
    </w:p>
    <w:p w14:paraId="114CC9C6" w14:textId="49E55E43" w:rsidR="00721282" w:rsidRDefault="00721282" w:rsidP="00BA5B42">
      <w:pPr>
        <w:spacing w:after="0"/>
        <w:rPr>
          <w:b/>
        </w:rPr>
      </w:pPr>
    </w:p>
    <w:p w14:paraId="7F5E060E" w14:textId="551B3F7F" w:rsidR="00721282" w:rsidRDefault="00721282" w:rsidP="00BA5B42">
      <w:pPr>
        <w:spacing w:after="0"/>
        <w:rPr>
          <w:b/>
        </w:rPr>
      </w:pPr>
    </w:p>
    <w:p w14:paraId="115FC115" w14:textId="217F0338" w:rsidR="00721282" w:rsidRDefault="00721282" w:rsidP="00BA5B42">
      <w:pPr>
        <w:spacing w:after="0"/>
        <w:rPr>
          <w:b/>
        </w:rPr>
      </w:pPr>
    </w:p>
    <w:p w14:paraId="20AB44DA" w14:textId="657D19F0" w:rsidR="00721282" w:rsidRDefault="00721282" w:rsidP="00BA5B42">
      <w:pPr>
        <w:spacing w:after="0"/>
        <w:rPr>
          <w:b/>
        </w:rPr>
      </w:pPr>
    </w:p>
    <w:p w14:paraId="0B58F59D" w14:textId="6ED35150" w:rsidR="00721282" w:rsidRDefault="00721282" w:rsidP="00BA5B42">
      <w:pPr>
        <w:spacing w:after="0"/>
        <w:rPr>
          <w:b/>
        </w:rPr>
      </w:pPr>
    </w:p>
    <w:p w14:paraId="3BE35CA1" w14:textId="1C655BFD" w:rsidR="00721282" w:rsidRDefault="00721282" w:rsidP="00BA5B42">
      <w:pPr>
        <w:spacing w:after="0"/>
        <w:rPr>
          <w:b/>
        </w:rPr>
      </w:pPr>
    </w:p>
    <w:p w14:paraId="7786C808" w14:textId="08B4D3EB" w:rsidR="00721282" w:rsidRDefault="00721282" w:rsidP="00BA5B42">
      <w:pPr>
        <w:spacing w:after="0"/>
        <w:rPr>
          <w:b/>
        </w:rPr>
      </w:pPr>
    </w:p>
    <w:p w14:paraId="1C329F56" w14:textId="5D176C39" w:rsidR="00721282" w:rsidRDefault="00721282" w:rsidP="00BA5B42">
      <w:pPr>
        <w:spacing w:after="0"/>
        <w:rPr>
          <w:b/>
        </w:rPr>
      </w:pPr>
    </w:p>
    <w:p w14:paraId="669FB992" w14:textId="189F0157" w:rsidR="00721282" w:rsidRDefault="00721282" w:rsidP="00BA5B42">
      <w:pPr>
        <w:spacing w:after="0"/>
        <w:rPr>
          <w:b/>
        </w:rPr>
      </w:pPr>
    </w:p>
    <w:p w14:paraId="27031E47" w14:textId="3DAD620F" w:rsidR="00721282" w:rsidRDefault="00721282" w:rsidP="00BA5B42">
      <w:pPr>
        <w:spacing w:after="0"/>
        <w:rPr>
          <w:b/>
        </w:rPr>
      </w:pPr>
    </w:p>
    <w:p w14:paraId="3F97B23D" w14:textId="399DB15E" w:rsidR="00721282" w:rsidRDefault="00721282" w:rsidP="00BA5B42">
      <w:pPr>
        <w:spacing w:after="0"/>
        <w:rPr>
          <w:b/>
        </w:rPr>
      </w:pPr>
    </w:p>
    <w:p w14:paraId="71AA2981" w14:textId="28072935" w:rsidR="00721282" w:rsidRDefault="00721282" w:rsidP="00BA5B42">
      <w:pPr>
        <w:spacing w:after="0"/>
        <w:rPr>
          <w:b/>
        </w:rPr>
      </w:pPr>
    </w:p>
    <w:p w14:paraId="35C4AD19" w14:textId="55315F90" w:rsidR="00721282" w:rsidRDefault="00721282" w:rsidP="00BA5B42">
      <w:pPr>
        <w:spacing w:after="0"/>
        <w:rPr>
          <w:b/>
        </w:rPr>
      </w:pPr>
    </w:p>
    <w:p w14:paraId="622BFC17" w14:textId="4C72E3F5" w:rsidR="00721282" w:rsidRDefault="00721282" w:rsidP="00BA5B42">
      <w:pPr>
        <w:spacing w:after="0"/>
        <w:rPr>
          <w:b/>
        </w:rPr>
      </w:pPr>
    </w:p>
    <w:p w14:paraId="6EA01387" w14:textId="0E1A26F8" w:rsidR="00721282" w:rsidRDefault="00721282" w:rsidP="00BA5B42">
      <w:pPr>
        <w:spacing w:after="0"/>
        <w:rPr>
          <w:b/>
        </w:rPr>
      </w:pPr>
    </w:p>
    <w:p w14:paraId="1C55B490" w14:textId="1EFCC232" w:rsidR="00721282" w:rsidRDefault="00721282" w:rsidP="00BA5B42">
      <w:pPr>
        <w:spacing w:after="0"/>
        <w:rPr>
          <w:b/>
        </w:rPr>
      </w:pPr>
    </w:p>
    <w:p w14:paraId="61B2AF62" w14:textId="1EFF3DC9" w:rsidR="00721282" w:rsidRDefault="00721282" w:rsidP="00BA5B42">
      <w:pPr>
        <w:spacing w:after="0"/>
        <w:rPr>
          <w:b/>
        </w:rPr>
      </w:pPr>
    </w:p>
    <w:p w14:paraId="40F2132C" w14:textId="21D65FF2" w:rsidR="00721282" w:rsidRDefault="00721282" w:rsidP="00BA5B42">
      <w:pPr>
        <w:spacing w:after="0"/>
        <w:rPr>
          <w:b/>
        </w:rPr>
      </w:pPr>
    </w:p>
    <w:p w14:paraId="382B7C0A" w14:textId="77425D27" w:rsidR="00721282" w:rsidRDefault="00721282" w:rsidP="00BA5B42">
      <w:pPr>
        <w:spacing w:after="0"/>
        <w:rPr>
          <w:b/>
        </w:rPr>
      </w:pPr>
    </w:p>
    <w:p w14:paraId="47FC92FC" w14:textId="3F9FA417" w:rsidR="00721282" w:rsidRDefault="00721282" w:rsidP="00BA5B42">
      <w:pPr>
        <w:spacing w:after="0"/>
        <w:rPr>
          <w:b/>
        </w:rPr>
      </w:pPr>
    </w:p>
    <w:p w14:paraId="7C7EBCFB" w14:textId="2524F274" w:rsidR="00721282" w:rsidRDefault="00721282" w:rsidP="00BA5B42">
      <w:pPr>
        <w:spacing w:after="0"/>
        <w:rPr>
          <w:b/>
        </w:rPr>
      </w:pPr>
    </w:p>
    <w:p w14:paraId="6FF07D59" w14:textId="77777777" w:rsidR="00600E01" w:rsidRDefault="00600E01" w:rsidP="00BA5B42">
      <w:pPr>
        <w:spacing w:after="0"/>
        <w:rPr>
          <w:b/>
        </w:rPr>
      </w:pPr>
    </w:p>
    <w:p w14:paraId="66F60EF3" w14:textId="1F0F4792" w:rsidR="006407A1" w:rsidRDefault="006407A1" w:rsidP="00BA5B42">
      <w:pPr>
        <w:spacing w:after="0"/>
        <w:rPr>
          <w:b/>
        </w:rPr>
      </w:pPr>
      <w:r>
        <w:rPr>
          <w:b/>
        </w:rPr>
        <w:t xml:space="preserve">Appendix </w:t>
      </w:r>
      <w:r w:rsidR="00003022">
        <w:rPr>
          <w:b/>
        </w:rPr>
        <w:t>1</w:t>
      </w:r>
      <w:r>
        <w:rPr>
          <w:b/>
        </w:rPr>
        <w:t xml:space="preserve">  </w:t>
      </w:r>
    </w:p>
    <w:p w14:paraId="3E2B7BD9" w14:textId="77777777" w:rsidR="006407A1" w:rsidRDefault="006407A1" w:rsidP="00BA5B42">
      <w:pPr>
        <w:spacing w:after="0"/>
        <w:rPr>
          <w:b/>
        </w:rPr>
      </w:pPr>
    </w:p>
    <w:p w14:paraId="1FBDF3DF" w14:textId="1D12DBF6" w:rsidR="006407A1" w:rsidRDefault="00CB33E4" w:rsidP="00BA5B42">
      <w:pPr>
        <w:spacing w:after="0"/>
        <w:rPr>
          <w:b/>
        </w:rPr>
      </w:pPr>
      <w:r>
        <w:rPr>
          <w:b/>
        </w:rPr>
        <w:t>Electricity quotes for Pavilion- all 3 yr fixed terms</w:t>
      </w:r>
    </w:p>
    <w:p w14:paraId="551F4201" w14:textId="2B34019F" w:rsidR="00CB33E4" w:rsidRDefault="00CB33E4" w:rsidP="00BA5B42">
      <w:pPr>
        <w:spacing w:after="0"/>
        <w:rPr>
          <w:b/>
        </w:rPr>
      </w:pPr>
    </w:p>
    <w:tbl>
      <w:tblPr>
        <w:tblStyle w:val="TableGrid"/>
        <w:tblW w:w="0" w:type="auto"/>
        <w:tblLook w:val="04A0" w:firstRow="1" w:lastRow="0" w:firstColumn="1" w:lastColumn="0" w:noHBand="0" w:noVBand="1"/>
      </w:tblPr>
      <w:tblGrid>
        <w:gridCol w:w="2830"/>
        <w:gridCol w:w="1560"/>
        <w:gridCol w:w="1559"/>
        <w:gridCol w:w="1134"/>
        <w:gridCol w:w="1701"/>
        <w:gridCol w:w="1672"/>
      </w:tblGrid>
      <w:tr w:rsidR="00CB33E4" w:rsidRPr="00CB33E4" w14:paraId="44A82FC1" w14:textId="43BBBE1D" w:rsidTr="00CB33E4">
        <w:trPr>
          <w:trHeight w:val="1185"/>
        </w:trPr>
        <w:tc>
          <w:tcPr>
            <w:tcW w:w="2830" w:type="dxa"/>
            <w:noWrap/>
            <w:hideMark/>
          </w:tcPr>
          <w:p w14:paraId="7ACA4FBA" w14:textId="77777777" w:rsidR="00CB33E4" w:rsidRPr="00CB33E4" w:rsidRDefault="00CB33E4" w:rsidP="00CB33E4">
            <w:pPr>
              <w:spacing w:after="0"/>
              <w:rPr>
                <w:b/>
                <w:bCs/>
              </w:rPr>
            </w:pPr>
            <w:r w:rsidRPr="00CB33E4">
              <w:rPr>
                <w:b/>
                <w:bCs/>
              </w:rPr>
              <w:t>Consumption Held by EDF (10,415)</w:t>
            </w:r>
          </w:p>
        </w:tc>
        <w:tc>
          <w:tcPr>
            <w:tcW w:w="1560" w:type="dxa"/>
            <w:noWrap/>
            <w:hideMark/>
          </w:tcPr>
          <w:p w14:paraId="3D182C68" w14:textId="77777777" w:rsidR="00CB33E4" w:rsidRPr="00CB33E4" w:rsidRDefault="00CB33E4" w:rsidP="00CB33E4">
            <w:pPr>
              <w:spacing w:after="0"/>
              <w:rPr>
                <w:b/>
              </w:rPr>
            </w:pPr>
          </w:p>
        </w:tc>
        <w:tc>
          <w:tcPr>
            <w:tcW w:w="1559" w:type="dxa"/>
            <w:noWrap/>
            <w:hideMark/>
          </w:tcPr>
          <w:p w14:paraId="636C5F41" w14:textId="77777777" w:rsidR="00CB33E4" w:rsidRPr="00CB33E4" w:rsidRDefault="00CB33E4" w:rsidP="00CB33E4">
            <w:pPr>
              <w:spacing w:after="0"/>
              <w:rPr>
                <w:b/>
              </w:rPr>
            </w:pPr>
          </w:p>
        </w:tc>
        <w:tc>
          <w:tcPr>
            <w:tcW w:w="1134" w:type="dxa"/>
          </w:tcPr>
          <w:p w14:paraId="1261C970" w14:textId="77777777" w:rsidR="00CB33E4" w:rsidRPr="00CB33E4" w:rsidRDefault="00CB33E4" w:rsidP="00CB33E4">
            <w:pPr>
              <w:spacing w:after="0"/>
              <w:rPr>
                <w:b/>
              </w:rPr>
            </w:pPr>
          </w:p>
        </w:tc>
        <w:tc>
          <w:tcPr>
            <w:tcW w:w="1701" w:type="dxa"/>
            <w:noWrap/>
            <w:hideMark/>
          </w:tcPr>
          <w:p w14:paraId="4F8F39C6" w14:textId="3F03DDD3" w:rsidR="00CB33E4" w:rsidRPr="00CB33E4" w:rsidRDefault="00CB33E4" w:rsidP="00CB33E4">
            <w:pPr>
              <w:spacing w:after="0"/>
              <w:rPr>
                <w:b/>
              </w:rPr>
            </w:pPr>
          </w:p>
        </w:tc>
        <w:tc>
          <w:tcPr>
            <w:tcW w:w="1672" w:type="dxa"/>
          </w:tcPr>
          <w:p w14:paraId="147930F6" w14:textId="77777777" w:rsidR="00CB33E4" w:rsidRPr="00CB33E4" w:rsidRDefault="00CB33E4" w:rsidP="00CB33E4">
            <w:pPr>
              <w:spacing w:after="0"/>
              <w:rPr>
                <w:b/>
              </w:rPr>
            </w:pPr>
          </w:p>
        </w:tc>
      </w:tr>
      <w:tr w:rsidR="00CB33E4" w:rsidRPr="00CB33E4" w14:paraId="2FE3AD1F" w14:textId="0857F95B" w:rsidTr="009239F1">
        <w:trPr>
          <w:trHeight w:val="480"/>
        </w:trPr>
        <w:tc>
          <w:tcPr>
            <w:tcW w:w="2830" w:type="dxa"/>
            <w:hideMark/>
          </w:tcPr>
          <w:p w14:paraId="50DA549F" w14:textId="77777777" w:rsidR="00CB33E4" w:rsidRPr="00CB33E4" w:rsidRDefault="00CB33E4" w:rsidP="00CB33E4">
            <w:pPr>
              <w:spacing w:after="0"/>
              <w:rPr>
                <w:b/>
                <w:bCs/>
              </w:rPr>
            </w:pPr>
            <w:r w:rsidRPr="00CB33E4">
              <w:rPr>
                <w:b/>
                <w:bCs/>
              </w:rPr>
              <w:t>Supplier</w:t>
            </w:r>
          </w:p>
        </w:tc>
        <w:tc>
          <w:tcPr>
            <w:tcW w:w="1560" w:type="dxa"/>
            <w:hideMark/>
          </w:tcPr>
          <w:p w14:paraId="4215F84A" w14:textId="77777777" w:rsidR="00CB33E4" w:rsidRPr="00CB33E4" w:rsidRDefault="00CB33E4" w:rsidP="00CB33E4">
            <w:pPr>
              <w:spacing w:after="0"/>
              <w:rPr>
                <w:b/>
                <w:bCs/>
              </w:rPr>
            </w:pPr>
            <w:r w:rsidRPr="00CB33E4">
              <w:rPr>
                <w:b/>
                <w:bCs/>
              </w:rPr>
              <w:t>All / Day Rate (p/kwh)</w:t>
            </w:r>
          </w:p>
        </w:tc>
        <w:tc>
          <w:tcPr>
            <w:tcW w:w="1559" w:type="dxa"/>
            <w:hideMark/>
          </w:tcPr>
          <w:p w14:paraId="5FE3166F" w14:textId="77777777" w:rsidR="00CB33E4" w:rsidRPr="00CB33E4" w:rsidRDefault="00CB33E4" w:rsidP="00CB33E4">
            <w:pPr>
              <w:spacing w:after="0"/>
              <w:rPr>
                <w:b/>
                <w:bCs/>
              </w:rPr>
            </w:pPr>
            <w:r w:rsidRPr="00CB33E4">
              <w:rPr>
                <w:b/>
                <w:bCs/>
              </w:rPr>
              <w:t>Standing Charge (p/day)</w:t>
            </w:r>
          </w:p>
        </w:tc>
        <w:tc>
          <w:tcPr>
            <w:tcW w:w="1134" w:type="dxa"/>
          </w:tcPr>
          <w:p w14:paraId="6C995736" w14:textId="4E65C5E9" w:rsidR="00CB33E4" w:rsidRPr="00CB33E4" w:rsidRDefault="00CB33E4" w:rsidP="00CB33E4">
            <w:pPr>
              <w:spacing w:after="0"/>
              <w:rPr>
                <w:b/>
                <w:bCs/>
              </w:rPr>
            </w:pPr>
            <w:r>
              <w:rPr>
                <w:b/>
                <w:bCs/>
              </w:rPr>
              <w:t>Annual Standing charge</w:t>
            </w:r>
          </w:p>
        </w:tc>
        <w:tc>
          <w:tcPr>
            <w:tcW w:w="1701" w:type="dxa"/>
          </w:tcPr>
          <w:p w14:paraId="25E07B37" w14:textId="1DEF40EE" w:rsidR="00CB33E4" w:rsidRPr="00CB33E4" w:rsidRDefault="00CB33E4" w:rsidP="00CB33E4">
            <w:pPr>
              <w:spacing w:after="0"/>
              <w:rPr>
                <w:b/>
                <w:bCs/>
              </w:rPr>
            </w:pPr>
            <w:r>
              <w:rPr>
                <w:b/>
                <w:bCs/>
              </w:rPr>
              <w:t>Estimated usage cost</w:t>
            </w:r>
          </w:p>
        </w:tc>
        <w:tc>
          <w:tcPr>
            <w:tcW w:w="1672" w:type="dxa"/>
            <w:shd w:val="clear" w:color="auto" w:fill="BFBFBF" w:themeFill="background1" w:themeFillShade="BF"/>
          </w:tcPr>
          <w:p w14:paraId="3205BD13" w14:textId="57C03ADE" w:rsidR="00CB33E4" w:rsidRPr="00CB33E4" w:rsidRDefault="00CB33E4" w:rsidP="00CB33E4">
            <w:pPr>
              <w:spacing w:after="0"/>
              <w:rPr>
                <w:b/>
                <w:bCs/>
              </w:rPr>
            </w:pPr>
            <w:r w:rsidRPr="00CB33E4">
              <w:rPr>
                <w:b/>
                <w:bCs/>
              </w:rPr>
              <w:t xml:space="preserve">Estimated </w:t>
            </w:r>
            <w:r>
              <w:rPr>
                <w:b/>
                <w:bCs/>
              </w:rPr>
              <w:t xml:space="preserve">Total </w:t>
            </w:r>
            <w:r w:rsidRPr="00CB33E4">
              <w:rPr>
                <w:b/>
                <w:bCs/>
              </w:rPr>
              <w:t>Annual Cost Before VAT</w:t>
            </w:r>
          </w:p>
        </w:tc>
      </w:tr>
      <w:tr w:rsidR="00CB33E4" w:rsidRPr="00CB33E4" w14:paraId="0AFC79F5" w14:textId="21335167" w:rsidTr="009239F1">
        <w:trPr>
          <w:trHeight w:val="300"/>
        </w:trPr>
        <w:tc>
          <w:tcPr>
            <w:tcW w:w="2830" w:type="dxa"/>
            <w:noWrap/>
            <w:hideMark/>
          </w:tcPr>
          <w:p w14:paraId="49CAD142" w14:textId="77777777" w:rsidR="00CB33E4" w:rsidRPr="00CB33E4" w:rsidRDefault="00CB33E4" w:rsidP="00CB33E4">
            <w:pPr>
              <w:spacing w:after="0"/>
              <w:rPr>
                <w:b/>
              </w:rPr>
            </w:pPr>
            <w:r w:rsidRPr="00CB33E4">
              <w:rPr>
                <w:b/>
              </w:rPr>
              <w:t>SSE</w:t>
            </w:r>
          </w:p>
        </w:tc>
        <w:tc>
          <w:tcPr>
            <w:tcW w:w="1560" w:type="dxa"/>
            <w:noWrap/>
            <w:hideMark/>
          </w:tcPr>
          <w:p w14:paraId="70078E93" w14:textId="77777777" w:rsidR="00CB33E4" w:rsidRPr="00CB33E4" w:rsidRDefault="00CB33E4" w:rsidP="00CB33E4">
            <w:pPr>
              <w:spacing w:after="0"/>
              <w:rPr>
                <w:b/>
              </w:rPr>
            </w:pPr>
            <w:r w:rsidRPr="00CB33E4">
              <w:rPr>
                <w:b/>
              </w:rPr>
              <w:t>0.231</w:t>
            </w:r>
          </w:p>
        </w:tc>
        <w:tc>
          <w:tcPr>
            <w:tcW w:w="1559" w:type="dxa"/>
            <w:noWrap/>
            <w:hideMark/>
          </w:tcPr>
          <w:p w14:paraId="6CF59882" w14:textId="77777777" w:rsidR="00CB33E4" w:rsidRPr="00CB33E4" w:rsidRDefault="00CB33E4" w:rsidP="00CB33E4">
            <w:pPr>
              <w:spacing w:after="0"/>
              <w:rPr>
                <w:b/>
              </w:rPr>
            </w:pPr>
            <w:r w:rsidRPr="00CB33E4">
              <w:rPr>
                <w:b/>
              </w:rPr>
              <w:t>0.64</w:t>
            </w:r>
          </w:p>
        </w:tc>
        <w:tc>
          <w:tcPr>
            <w:tcW w:w="1134" w:type="dxa"/>
          </w:tcPr>
          <w:p w14:paraId="745625D3" w14:textId="62B0E8EB" w:rsidR="00CB33E4" w:rsidRPr="00CB33E4" w:rsidRDefault="009239F1" w:rsidP="00CB33E4">
            <w:pPr>
              <w:spacing w:after="0"/>
              <w:rPr>
                <w:b/>
              </w:rPr>
            </w:pPr>
            <w:r>
              <w:rPr>
                <w:b/>
              </w:rPr>
              <w:t>£</w:t>
            </w:r>
            <w:r w:rsidR="00CB33E4">
              <w:rPr>
                <w:b/>
              </w:rPr>
              <w:t>233.60</w:t>
            </w:r>
          </w:p>
        </w:tc>
        <w:tc>
          <w:tcPr>
            <w:tcW w:w="1701" w:type="dxa"/>
            <w:noWrap/>
          </w:tcPr>
          <w:p w14:paraId="24E89DDA" w14:textId="430B9912" w:rsidR="00CB33E4" w:rsidRPr="00CB33E4" w:rsidRDefault="009239F1" w:rsidP="00CB33E4">
            <w:pPr>
              <w:spacing w:after="0"/>
              <w:rPr>
                <w:b/>
              </w:rPr>
            </w:pPr>
            <w:r>
              <w:rPr>
                <w:b/>
              </w:rPr>
              <w:t>£</w:t>
            </w:r>
            <w:r w:rsidR="00CB33E4">
              <w:rPr>
                <w:b/>
              </w:rPr>
              <w:t>2,406</w:t>
            </w:r>
          </w:p>
        </w:tc>
        <w:tc>
          <w:tcPr>
            <w:tcW w:w="1672" w:type="dxa"/>
            <w:shd w:val="clear" w:color="auto" w:fill="BFBFBF" w:themeFill="background1" w:themeFillShade="BF"/>
          </w:tcPr>
          <w:p w14:paraId="48C6AB8B" w14:textId="058E1AFF" w:rsidR="00CB33E4" w:rsidRPr="00CB33E4" w:rsidRDefault="00CB33E4" w:rsidP="00CB33E4">
            <w:pPr>
              <w:spacing w:after="0"/>
              <w:rPr>
                <w:b/>
              </w:rPr>
            </w:pPr>
            <w:r w:rsidRPr="00CB33E4">
              <w:rPr>
                <w:b/>
              </w:rPr>
              <w:t>£2,639</w:t>
            </w:r>
          </w:p>
        </w:tc>
      </w:tr>
      <w:tr w:rsidR="00CB33E4" w:rsidRPr="00CB33E4" w14:paraId="119393C1" w14:textId="08AFC625" w:rsidTr="009239F1">
        <w:trPr>
          <w:trHeight w:val="300"/>
        </w:trPr>
        <w:tc>
          <w:tcPr>
            <w:tcW w:w="2830" w:type="dxa"/>
            <w:noWrap/>
            <w:hideMark/>
          </w:tcPr>
          <w:p w14:paraId="1EFCDC3F" w14:textId="77777777" w:rsidR="00CB33E4" w:rsidRPr="00CB33E4" w:rsidRDefault="00CB33E4" w:rsidP="00CB33E4">
            <w:pPr>
              <w:spacing w:after="0"/>
              <w:rPr>
                <w:b/>
              </w:rPr>
            </w:pPr>
            <w:r w:rsidRPr="00CB33E4">
              <w:rPr>
                <w:b/>
              </w:rPr>
              <w:t>Gazprom</w:t>
            </w:r>
          </w:p>
        </w:tc>
        <w:tc>
          <w:tcPr>
            <w:tcW w:w="1560" w:type="dxa"/>
            <w:noWrap/>
            <w:hideMark/>
          </w:tcPr>
          <w:p w14:paraId="62E86C27" w14:textId="77777777" w:rsidR="00CB33E4" w:rsidRPr="00CB33E4" w:rsidRDefault="00CB33E4" w:rsidP="00CB33E4">
            <w:pPr>
              <w:spacing w:after="0"/>
              <w:rPr>
                <w:b/>
              </w:rPr>
            </w:pPr>
            <w:r w:rsidRPr="00CB33E4">
              <w:rPr>
                <w:b/>
              </w:rPr>
              <w:t>0.255</w:t>
            </w:r>
          </w:p>
        </w:tc>
        <w:tc>
          <w:tcPr>
            <w:tcW w:w="1559" w:type="dxa"/>
            <w:noWrap/>
            <w:hideMark/>
          </w:tcPr>
          <w:p w14:paraId="098A046A" w14:textId="77777777" w:rsidR="00CB33E4" w:rsidRPr="00CB33E4" w:rsidRDefault="00CB33E4" w:rsidP="00CB33E4">
            <w:pPr>
              <w:spacing w:after="0"/>
              <w:rPr>
                <w:b/>
              </w:rPr>
            </w:pPr>
            <w:r w:rsidRPr="00CB33E4">
              <w:rPr>
                <w:b/>
              </w:rPr>
              <w:t>0.40</w:t>
            </w:r>
          </w:p>
        </w:tc>
        <w:tc>
          <w:tcPr>
            <w:tcW w:w="1134" w:type="dxa"/>
          </w:tcPr>
          <w:p w14:paraId="262FB1DB" w14:textId="37E47AEE" w:rsidR="00CB33E4" w:rsidRPr="00CB33E4" w:rsidRDefault="009239F1" w:rsidP="00CB33E4">
            <w:pPr>
              <w:spacing w:after="0"/>
              <w:rPr>
                <w:b/>
              </w:rPr>
            </w:pPr>
            <w:r>
              <w:rPr>
                <w:b/>
              </w:rPr>
              <w:t>£</w:t>
            </w:r>
            <w:r w:rsidR="00CB33E4">
              <w:rPr>
                <w:b/>
              </w:rPr>
              <w:t>146.00</w:t>
            </w:r>
          </w:p>
        </w:tc>
        <w:tc>
          <w:tcPr>
            <w:tcW w:w="1701" w:type="dxa"/>
            <w:noWrap/>
          </w:tcPr>
          <w:p w14:paraId="0ED80DBC" w14:textId="2EFC24E7" w:rsidR="00CB33E4" w:rsidRPr="00CB33E4" w:rsidRDefault="009239F1" w:rsidP="00CB33E4">
            <w:pPr>
              <w:spacing w:after="0"/>
              <w:rPr>
                <w:b/>
              </w:rPr>
            </w:pPr>
            <w:r>
              <w:rPr>
                <w:b/>
              </w:rPr>
              <w:t>£</w:t>
            </w:r>
            <w:r w:rsidR="00CB33E4">
              <w:rPr>
                <w:b/>
              </w:rPr>
              <w:t>2,656</w:t>
            </w:r>
          </w:p>
        </w:tc>
        <w:tc>
          <w:tcPr>
            <w:tcW w:w="1672" w:type="dxa"/>
            <w:shd w:val="clear" w:color="auto" w:fill="BFBFBF" w:themeFill="background1" w:themeFillShade="BF"/>
          </w:tcPr>
          <w:p w14:paraId="5A513A54" w14:textId="37AE55F8" w:rsidR="00CB33E4" w:rsidRPr="00CB33E4" w:rsidRDefault="00CB33E4" w:rsidP="00CB33E4">
            <w:pPr>
              <w:spacing w:after="0"/>
              <w:rPr>
                <w:b/>
              </w:rPr>
            </w:pPr>
            <w:r w:rsidRPr="00CB33E4">
              <w:rPr>
                <w:b/>
              </w:rPr>
              <w:t>£2,800</w:t>
            </w:r>
          </w:p>
        </w:tc>
      </w:tr>
      <w:tr w:rsidR="00CB33E4" w:rsidRPr="00CB33E4" w14:paraId="4B168DCD" w14:textId="79378DE4" w:rsidTr="009239F1">
        <w:trPr>
          <w:trHeight w:val="315"/>
        </w:trPr>
        <w:tc>
          <w:tcPr>
            <w:tcW w:w="2830" w:type="dxa"/>
            <w:noWrap/>
            <w:hideMark/>
          </w:tcPr>
          <w:p w14:paraId="17CDF7AA" w14:textId="00A5A0DA" w:rsidR="00CB33E4" w:rsidRPr="00CB33E4" w:rsidRDefault="00CB33E4" w:rsidP="00CB33E4">
            <w:pPr>
              <w:spacing w:after="0"/>
              <w:rPr>
                <w:b/>
              </w:rPr>
            </w:pPr>
            <w:r w:rsidRPr="00CB33E4">
              <w:rPr>
                <w:b/>
              </w:rPr>
              <w:t xml:space="preserve">EDF </w:t>
            </w:r>
            <w:r w:rsidR="009239F1">
              <w:rPr>
                <w:b/>
              </w:rPr>
              <w:t>(Current supplier)</w:t>
            </w:r>
          </w:p>
        </w:tc>
        <w:tc>
          <w:tcPr>
            <w:tcW w:w="1560" w:type="dxa"/>
            <w:noWrap/>
            <w:hideMark/>
          </w:tcPr>
          <w:p w14:paraId="2BF354A0" w14:textId="77777777" w:rsidR="00CB33E4" w:rsidRPr="00CB33E4" w:rsidRDefault="00CB33E4" w:rsidP="00CB33E4">
            <w:pPr>
              <w:spacing w:after="0"/>
              <w:rPr>
                <w:b/>
              </w:rPr>
            </w:pPr>
            <w:r w:rsidRPr="00CB33E4">
              <w:rPr>
                <w:b/>
              </w:rPr>
              <w:t>0.259</w:t>
            </w:r>
          </w:p>
        </w:tc>
        <w:tc>
          <w:tcPr>
            <w:tcW w:w="1559" w:type="dxa"/>
            <w:noWrap/>
            <w:hideMark/>
          </w:tcPr>
          <w:p w14:paraId="31024994" w14:textId="77777777" w:rsidR="00CB33E4" w:rsidRPr="00CB33E4" w:rsidRDefault="00CB33E4" w:rsidP="00CB33E4">
            <w:pPr>
              <w:spacing w:after="0"/>
              <w:rPr>
                <w:b/>
              </w:rPr>
            </w:pPr>
            <w:r w:rsidRPr="00CB33E4">
              <w:rPr>
                <w:b/>
              </w:rPr>
              <w:t>0.35</w:t>
            </w:r>
          </w:p>
        </w:tc>
        <w:tc>
          <w:tcPr>
            <w:tcW w:w="1134" w:type="dxa"/>
          </w:tcPr>
          <w:p w14:paraId="7FDB6DC1" w14:textId="534CC417" w:rsidR="00CB33E4" w:rsidRPr="00CB33E4" w:rsidRDefault="009239F1" w:rsidP="00CB33E4">
            <w:pPr>
              <w:spacing w:after="0"/>
              <w:rPr>
                <w:b/>
              </w:rPr>
            </w:pPr>
            <w:r>
              <w:rPr>
                <w:b/>
              </w:rPr>
              <w:t>£</w:t>
            </w:r>
            <w:r w:rsidR="00CB33E4">
              <w:rPr>
                <w:b/>
              </w:rPr>
              <w:t>127.75</w:t>
            </w:r>
          </w:p>
        </w:tc>
        <w:tc>
          <w:tcPr>
            <w:tcW w:w="1701" w:type="dxa"/>
            <w:noWrap/>
          </w:tcPr>
          <w:p w14:paraId="3FCD893C" w14:textId="1A2071D6" w:rsidR="00CB33E4" w:rsidRPr="00CB33E4" w:rsidRDefault="009239F1" w:rsidP="00CB33E4">
            <w:pPr>
              <w:spacing w:after="0"/>
              <w:rPr>
                <w:b/>
              </w:rPr>
            </w:pPr>
            <w:r>
              <w:rPr>
                <w:b/>
              </w:rPr>
              <w:t>£</w:t>
            </w:r>
            <w:r w:rsidR="00CB33E4">
              <w:rPr>
                <w:b/>
              </w:rPr>
              <w:t>2,697</w:t>
            </w:r>
          </w:p>
        </w:tc>
        <w:tc>
          <w:tcPr>
            <w:tcW w:w="1672" w:type="dxa"/>
            <w:shd w:val="clear" w:color="auto" w:fill="BFBFBF" w:themeFill="background1" w:themeFillShade="BF"/>
          </w:tcPr>
          <w:p w14:paraId="634B5AD0" w14:textId="3624E0D0" w:rsidR="00CB33E4" w:rsidRPr="00CB33E4" w:rsidRDefault="00CB33E4" w:rsidP="00CB33E4">
            <w:pPr>
              <w:spacing w:after="0"/>
              <w:rPr>
                <w:b/>
              </w:rPr>
            </w:pPr>
            <w:r w:rsidRPr="00CB33E4">
              <w:rPr>
                <w:b/>
              </w:rPr>
              <w:t>£2,827</w:t>
            </w:r>
          </w:p>
        </w:tc>
      </w:tr>
      <w:tr w:rsidR="00CB33E4" w:rsidRPr="00CB33E4" w14:paraId="5B819500" w14:textId="5CE7C87C" w:rsidTr="009239F1">
        <w:trPr>
          <w:trHeight w:val="300"/>
        </w:trPr>
        <w:tc>
          <w:tcPr>
            <w:tcW w:w="2830" w:type="dxa"/>
            <w:noWrap/>
            <w:hideMark/>
          </w:tcPr>
          <w:p w14:paraId="3E60F981" w14:textId="77777777" w:rsidR="00CB33E4" w:rsidRPr="00CB33E4" w:rsidRDefault="00CB33E4" w:rsidP="00CB33E4">
            <w:pPr>
              <w:spacing w:after="0"/>
              <w:rPr>
                <w:b/>
              </w:rPr>
            </w:pPr>
          </w:p>
        </w:tc>
        <w:tc>
          <w:tcPr>
            <w:tcW w:w="1560" w:type="dxa"/>
            <w:noWrap/>
            <w:hideMark/>
          </w:tcPr>
          <w:p w14:paraId="144931B7" w14:textId="77777777" w:rsidR="00CB33E4" w:rsidRPr="00CB33E4" w:rsidRDefault="00CB33E4" w:rsidP="00CB33E4">
            <w:pPr>
              <w:spacing w:after="0"/>
              <w:rPr>
                <w:b/>
              </w:rPr>
            </w:pPr>
          </w:p>
        </w:tc>
        <w:tc>
          <w:tcPr>
            <w:tcW w:w="1559" w:type="dxa"/>
            <w:noWrap/>
            <w:hideMark/>
          </w:tcPr>
          <w:p w14:paraId="5704EC6E" w14:textId="77777777" w:rsidR="00CB33E4" w:rsidRPr="00CB33E4" w:rsidRDefault="00CB33E4" w:rsidP="00CB33E4">
            <w:pPr>
              <w:spacing w:after="0"/>
              <w:rPr>
                <w:b/>
              </w:rPr>
            </w:pPr>
          </w:p>
        </w:tc>
        <w:tc>
          <w:tcPr>
            <w:tcW w:w="1134" w:type="dxa"/>
          </w:tcPr>
          <w:p w14:paraId="64E44B36" w14:textId="77777777" w:rsidR="00CB33E4" w:rsidRPr="00CB33E4" w:rsidRDefault="00CB33E4" w:rsidP="00CB33E4">
            <w:pPr>
              <w:spacing w:after="0"/>
              <w:rPr>
                <w:b/>
              </w:rPr>
            </w:pPr>
          </w:p>
        </w:tc>
        <w:tc>
          <w:tcPr>
            <w:tcW w:w="1701" w:type="dxa"/>
            <w:noWrap/>
          </w:tcPr>
          <w:p w14:paraId="72EF2594" w14:textId="200E6FD0" w:rsidR="00CB33E4" w:rsidRPr="00CB33E4" w:rsidRDefault="00CB33E4" w:rsidP="00CB33E4">
            <w:pPr>
              <w:spacing w:after="0"/>
              <w:rPr>
                <w:b/>
              </w:rPr>
            </w:pPr>
          </w:p>
        </w:tc>
        <w:tc>
          <w:tcPr>
            <w:tcW w:w="1672" w:type="dxa"/>
            <w:shd w:val="clear" w:color="auto" w:fill="BFBFBF" w:themeFill="background1" w:themeFillShade="BF"/>
          </w:tcPr>
          <w:p w14:paraId="43031E9B" w14:textId="77777777" w:rsidR="00CB33E4" w:rsidRPr="00CB33E4" w:rsidRDefault="00CB33E4" w:rsidP="00CB33E4">
            <w:pPr>
              <w:spacing w:after="0"/>
              <w:rPr>
                <w:b/>
              </w:rPr>
            </w:pPr>
          </w:p>
        </w:tc>
      </w:tr>
      <w:tr w:rsidR="00CB33E4" w:rsidRPr="00CB33E4" w14:paraId="06A5694A" w14:textId="69B9E6D0" w:rsidTr="00CB33E4">
        <w:trPr>
          <w:trHeight w:val="1005"/>
        </w:trPr>
        <w:tc>
          <w:tcPr>
            <w:tcW w:w="2830" w:type="dxa"/>
            <w:noWrap/>
            <w:hideMark/>
          </w:tcPr>
          <w:p w14:paraId="097031E1" w14:textId="59C561FA" w:rsidR="00CB33E4" w:rsidRPr="00CB33E4" w:rsidRDefault="009239F1" w:rsidP="00CB33E4">
            <w:pPr>
              <w:spacing w:after="0"/>
              <w:rPr>
                <w:b/>
                <w:bCs/>
              </w:rPr>
            </w:pPr>
            <w:r>
              <w:rPr>
                <w:b/>
                <w:bCs/>
              </w:rPr>
              <w:t>For comparison-*</w:t>
            </w:r>
            <w:r w:rsidR="00CB33E4" w:rsidRPr="00CB33E4">
              <w:rPr>
                <w:b/>
                <w:bCs/>
              </w:rPr>
              <w:t>Consumption Halved (5,207)</w:t>
            </w:r>
          </w:p>
        </w:tc>
        <w:tc>
          <w:tcPr>
            <w:tcW w:w="1560" w:type="dxa"/>
            <w:noWrap/>
            <w:hideMark/>
          </w:tcPr>
          <w:p w14:paraId="2C259B7F" w14:textId="77777777" w:rsidR="00CB33E4" w:rsidRPr="00CB33E4" w:rsidRDefault="00CB33E4" w:rsidP="00CB33E4">
            <w:pPr>
              <w:spacing w:after="0"/>
              <w:rPr>
                <w:b/>
              </w:rPr>
            </w:pPr>
          </w:p>
        </w:tc>
        <w:tc>
          <w:tcPr>
            <w:tcW w:w="1559" w:type="dxa"/>
            <w:noWrap/>
            <w:hideMark/>
          </w:tcPr>
          <w:p w14:paraId="39CB2CC8" w14:textId="77777777" w:rsidR="00CB33E4" w:rsidRPr="00CB33E4" w:rsidRDefault="00CB33E4" w:rsidP="00CB33E4">
            <w:pPr>
              <w:spacing w:after="0"/>
              <w:rPr>
                <w:b/>
              </w:rPr>
            </w:pPr>
          </w:p>
        </w:tc>
        <w:tc>
          <w:tcPr>
            <w:tcW w:w="1134" w:type="dxa"/>
          </w:tcPr>
          <w:p w14:paraId="49D233FD" w14:textId="77777777" w:rsidR="00CB33E4" w:rsidRPr="00CB33E4" w:rsidRDefault="00CB33E4" w:rsidP="00CB33E4">
            <w:pPr>
              <w:spacing w:after="0"/>
              <w:rPr>
                <w:b/>
              </w:rPr>
            </w:pPr>
          </w:p>
        </w:tc>
        <w:tc>
          <w:tcPr>
            <w:tcW w:w="1701" w:type="dxa"/>
            <w:noWrap/>
          </w:tcPr>
          <w:p w14:paraId="4281BFBC" w14:textId="25264FDA" w:rsidR="00CB33E4" w:rsidRPr="00CB33E4" w:rsidRDefault="00CB33E4" w:rsidP="00CB33E4">
            <w:pPr>
              <w:spacing w:after="0"/>
              <w:rPr>
                <w:b/>
              </w:rPr>
            </w:pPr>
          </w:p>
        </w:tc>
        <w:tc>
          <w:tcPr>
            <w:tcW w:w="1672" w:type="dxa"/>
          </w:tcPr>
          <w:p w14:paraId="1BD8B6D8" w14:textId="77777777" w:rsidR="00CB33E4" w:rsidRPr="00CB33E4" w:rsidRDefault="00CB33E4" w:rsidP="00CB33E4">
            <w:pPr>
              <w:spacing w:after="0"/>
              <w:rPr>
                <w:b/>
              </w:rPr>
            </w:pPr>
          </w:p>
        </w:tc>
      </w:tr>
      <w:tr w:rsidR="00CB33E4" w:rsidRPr="00CB33E4" w14:paraId="3392F420" w14:textId="63EB4AEB" w:rsidTr="00CB33E4">
        <w:trPr>
          <w:trHeight w:val="480"/>
        </w:trPr>
        <w:tc>
          <w:tcPr>
            <w:tcW w:w="2830" w:type="dxa"/>
            <w:hideMark/>
          </w:tcPr>
          <w:p w14:paraId="28FCC423" w14:textId="77777777" w:rsidR="00CB33E4" w:rsidRPr="00CB33E4" w:rsidRDefault="00CB33E4" w:rsidP="00CB33E4">
            <w:pPr>
              <w:spacing w:after="0"/>
              <w:rPr>
                <w:b/>
                <w:bCs/>
              </w:rPr>
            </w:pPr>
            <w:r w:rsidRPr="00CB33E4">
              <w:rPr>
                <w:b/>
                <w:bCs/>
              </w:rPr>
              <w:t>Supplier</w:t>
            </w:r>
          </w:p>
        </w:tc>
        <w:tc>
          <w:tcPr>
            <w:tcW w:w="1560" w:type="dxa"/>
            <w:hideMark/>
          </w:tcPr>
          <w:p w14:paraId="25CDE803" w14:textId="77777777" w:rsidR="00CB33E4" w:rsidRPr="00CB33E4" w:rsidRDefault="00CB33E4" w:rsidP="00CB33E4">
            <w:pPr>
              <w:spacing w:after="0"/>
              <w:rPr>
                <w:b/>
                <w:bCs/>
              </w:rPr>
            </w:pPr>
            <w:r w:rsidRPr="00CB33E4">
              <w:rPr>
                <w:b/>
                <w:bCs/>
              </w:rPr>
              <w:t>All / Day Rate (p/kwh)</w:t>
            </w:r>
          </w:p>
        </w:tc>
        <w:tc>
          <w:tcPr>
            <w:tcW w:w="1559" w:type="dxa"/>
            <w:hideMark/>
          </w:tcPr>
          <w:p w14:paraId="674A8438" w14:textId="77777777" w:rsidR="00CB33E4" w:rsidRPr="00CB33E4" w:rsidRDefault="00CB33E4" w:rsidP="00CB33E4">
            <w:pPr>
              <w:spacing w:after="0"/>
              <w:rPr>
                <w:b/>
                <w:bCs/>
              </w:rPr>
            </w:pPr>
            <w:r w:rsidRPr="00CB33E4">
              <w:rPr>
                <w:b/>
                <w:bCs/>
              </w:rPr>
              <w:t>Standing Charge (p/day)</w:t>
            </w:r>
          </w:p>
        </w:tc>
        <w:tc>
          <w:tcPr>
            <w:tcW w:w="1134" w:type="dxa"/>
          </w:tcPr>
          <w:p w14:paraId="381DDAD8" w14:textId="330CC988" w:rsidR="00CB33E4" w:rsidRPr="00CB33E4" w:rsidRDefault="009239F1" w:rsidP="00CB33E4">
            <w:pPr>
              <w:spacing w:after="0"/>
              <w:rPr>
                <w:b/>
                <w:bCs/>
              </w:rPr>
            </w:pPr>
            <w:r>
              <w:rPr>
                <w:b/>
                <w:bCs/>
              </w:rPr>
              <w:t>Annual Standing charge</w:t>
            </w:r>
          </w:p>
        </w:tc>
        <w:tc>
          <w:tcPr>
            <w:tcW w:w="1701" w:type="dxa"/>
          </w:tcPr>
          <w:p w14:paraId="30BF3CF9" w14:textId="3BBF0BA1" w:rsidR="00CB33E4" w:rsidRPr="00CB33E4" w:rsidRDefault="009239F1" w:rsidP="00CB33E4">
            <w:pPr>
              <w:spacing w:after="0"/>
              <w:rPr>
                <w:b/>
                <w:bCs/>
              </w:rPr>
            </w:pPr>
            <w:r>
              <w:rPr>
                <w:b/>
                <w:bCs/>
              </w:rPr>
              <w:t>Estimated usage cost</w:t>
            </w:r>
          </w:p>
        </w:tc>
        <w:tc>
          <w:tcPr>
            <w:tcW w:w="1672" w:type="dxa"/>
          </w:tcPr>
          <w:p w14:paraId="54A5FA07" w14:textId="4B61BDE7" w:rsidR="00CB33E4" w:rsidRPr="00CB33E4" w:rsidRDefault="00CB33E4" w:rsidP="00CB33E4">
            <w:pPr>
              <w:spacing w:after="0"/>
              <w:rPr>
                <w:b/>
                <w:bCs/>
              </w:rPr>
            </w:pPr>
            <w:r w:rsidRPr="00CB33E4">
              <w:rPr>
                <w:b/>
                <w:bCs/>
              </w:rPr>
              <w:t xml:space="preserve">Estimated </w:t>
            </w:r>
            <w:r w:rsidR="009239F1">
              <w:rPr>
                <w:b/>
                <w:bCs/>
              </w:rPr>
              <w:t xml:space="preserve">Total </w:t>
            </w:r>
            <w:r w:rsidRPr="00CB33E4">
              <w:rPr>
                <w:b/>
                <w:bCs/>
              </w:rPr>
              <w:t>Annual Cost Before VAT</w:t>
            </w:r>
          </w:p>
        </w:tc>
      </w:tr>
      <w:tr w:rsidR="00CB33E4" w:rsidRPr="00CB33E4" w14:paraId="40393EDF" w14:textId="7E75C484" w:rsidTr="00CB33E4">
        <w:trPr>
          <w:trHeight w:val="300"/>
        </w:trPr>
        <w:tc>
          <w:tcPr>
            <w:tcW w:w="2830" w:type="dxa"/>
            <w:noWrap/>
            <w:hideMark/>
          </w:tcPr>
          <w:p w14:paraId="14C80BB8" w14:textId="77777777" w:rsidR="00CB33E4" w:rsidRPr="00CB33E4" w:rsidRDefault="00CB33E4" w:rsidP="00CB33E4">
            <w:pPr>
              <w:spacing w:after="0"/>
              <w:rPr>
                <w:b/>
              </w:rPr>
            </w:pPr>
            <w:r w:rsidRPr="00CB33E4">
              <w:rPr>
                <w:b/>
              </w:rPr>
              <w:t>SSE</w:t>
            </w:r>
          </w:p>
        </w:tc>
        <w:tc>
          <w:tcPr>
            <w:tcW w:w="1560" w:type="dxa"/>
            <w:noWrap/>
            <w:hideMark/>
          </w:tcPr>
          <w:p w14:paraId="2BAF910C" w14:textId="77777777" w:rsidR="00CB33E4" w:rsidRPr="00CB33E4" w:rsidRDefault="00CB33E4" w:rsidP="00CB33E4">
            <w:pPr>
              <w:spacing w:after="0"/>
              <w:rPr>
                <w:b/>
              </w:rPr>
            </w:pPr>
            <w:r w:rsidRPr="00CB33E4">
              <w:rPr>
                <w:b/>
              </w:rPr>
              <w:t>0.231</w:t>
            </w:r>
          </w:p>
        </w:tc>
        <w:tc>
          <w:tcPr>
            <w:tcW w:w="1559" w:type="dxa"/>
            <w:noWrap/>
            <w:hideMark/>
          </w:tcPr>
          <w:p w14:paraId="095C3515" w14:textId="77777777" w:rsidR="00CB33E4" w:rsidRPr="00CB33E4" w:rsidRDefault="00CB33E4" w:rsidP="00CB33E4">
            <w:pPr>
              <w:spacing w:after="0"/>
              <w:rPr>
                <w:b/>
              </w:rPr>
            </w:pPr>
            <w:r w:rsidRPr="00CB33E4">
              <w:rPr>
                <w:b/>
              </w:rPr>
              <w:t>0.64</w:t>
            </w:r>
          </w:p>
        </w:tc>
        <w:tc>
          <w:tcPr>
            <w:tcW w:w="1134" w:type="dxa"/>
          </w:tcPr>
          <w:p w14:paraId="71323F1E" w14:textId="1BA7CF0D" w:rsidR="00CB33E4" w:rsidRPr="00CB33E4" w:rsidRDefault="009239F1" w:rsidP="00CB33E4">
            <w:pPr>
              <w:spacing w:after="0"/>
              <w:rPr>
                <w:b/>
              </w:rPr>
            </w:pPr>
            <w:r>
              <w:rPr>
                <w:b/>
              </w:rPr>
              <w:t>233.60</w:t>
            </w:r>
          </w:p>
        </w:tc>
        <w:tc>
          <w:tcPr>
            <w:tcW w:w="1701" w:type="dxa"/>
            <w:noWrap/>
          </w:tcPr>
          <w:p w14:paraId="316D1130" w14:textId="69BBCFE5" w:rsidR="00CB33E4" w:rsidRPr="00CB33E4" w:rsidRDefault="009239F1" w:rsidP="00CB33E4">
            <w:pPr>
              <w:spacing w:after="0"/>
              <w:rPr>
                <w:b/>
              </w:rPr>
            </w:pPr>
            <w:r>
              <w:rPr>
                <w:b/>
              </w:rPr>
              <w:t>£1,202</w:t>
            </w:r>
          </w:p>
        </w:tc>
        <w:tc>
          <w:tcPr>
            <w:tcW w:w="1672" w:type="dxa"/>
          </w:tcPr>
          <w:p w14:paraId="07010454" w14:textId="5E00FF8A" w:rsidR="00CB33E4" w:rsidRPr="00CB33E4" w:rsidRDefault="00CB33E4" w:rsidP="00CB33E4">
            <w:pPr>
              <w:spacing w:after="0"/>
              <w:rPr>
                <w:b/>
              </w:rPr>
            </w:pPr>
            <w:r w:rsidRPr="00CB33E4">
              <w:rPr>
                <w:b/>
              </w:rPr>
              <w:t>£1,436</w:t>
            </w:r>
          </w:p>
        </w:tc>
      </w:tr>
      <w:tr w:rsidR="00CB33E4" w:rsidRPr="00CB33E4" w14:paraId="1D83FCFC" w14:textId="4D0FAE1B" w:rsidTr="00CB33E4">
        <w:trPr>
          <w:trHeight w:val="300"/>
        </w:trPr>
        <w:tc>
          <w:tcPr>
            <w:tcW w:w="2830" w:type="dxa"/>
            <w:noWrap/>
            <w:hideMark/>
          </w:tcPr>
          <w:p w14:paraId="497B8DFF" w14:textId="77777777" w:rsidR="00CB33E4" w:rsidRPr="00CB33E4" w:rsidRDefault="00CB33E4" w:rsidP="00CB33E4">
            <w:pPr>
              <w:spacing w:after="0"/>
              <w:rPr>
                <w:b/>
              </w:rPr>
            </w:pPr>
            <w:r w:rsidRPr="00CB33E4">
              <w:rPr>
                <w:b/>
              </w:rPr>
              <w:t>Gazprom</w:t>
            </w:r>
          </w:p>
        </w:tc>
        <w:tc>
          <w:tcPr>
            <w:tcW w:w="1560" w:type="dxa"/>
            <w:noWrap/>
            <w:hideMark/>
          </w:tcPr>
          <w:p w14:paraId="305CBA02" w14:textId="77777777" w:rsidR="00CB33E4" w:rsidRPr="00CB33E4" w:rsidRDefault="00CB33E4" w:rsidP="00CB33E4">
            <w:pPr>
              <w:spacing w:after="0"/>
              <w:rPr>
                <w:b/>
              </w:rPr>
            </w:pPr>
            <w:r w:rsidRPr="00CB33E4">
              <w:rPr>
                <w:b/>
              </w:rPr>
              <w:t>0.255</w:t>
            </w:r>
          </w:p>
        </w:tc>
        <w:tc>
          <w:tcPr>
            <w:tcW w:w="1559" w:type="dxa"/>
            <w:noWrap/>
            <w:hideMark/>
          </w:tcPr>
          <w:p w14:paraId="70589C64" w14:textId="77777777" w:rsidR="00CB33E4" w:rsidRPr="00CB33E4" w:rsidRDefault="00CB33E4" w:rsidP="00CB33E4">
            <w:pPr>
              <w:spacing w:after="0"/>
              <w:rPr>
                <w:b/>
              </w:rPr>
            </w:pPr>
            <w:r w:rsidRPr="00CB33E4">
              <w:rPr>
                <w:b/>
              </w:rPr>
              <w:t>0.40</w:t>
            </w:r>
          </w:p>
        </w:tc>
        <w:tc>
          <w:tcPr>
            <w:tcW w:w="1134" w:type="dxa"/>
          </w:tcPr>
          <w:p w14:paraId="013128BC" w14:textId="1A39F490" w:rsidR="00CB33E4" w:rsidRPr="00CB33E4" w:rsidRDefault="009239F1" w:rsidP="00CB33E4">
            <w:pPr>
              <w:spacing w:after="0"/>
              <w:rPr>
                <w:b/>
              </w:rPr>
            </w:pPr>
            <w:r>
              <w:rPr>
                <w:b/>
              </w:rPr>
              <w:t>146.00</w:t>
            </w:r>
          </w:p>
        </w:tc>
        <w:tc>
          <w:tcPr>
            <w:tcW w:w="1701" w:type="dxa"/>
            <w:noWrap/>
          </w:tcPr>
          <w:p w14:paraId="127494FA" w14:textId="65236406" w:rsidR="00CB33E4" w:rsidRPr="00CB33E4" w:rsidRDefault="009239F1" w:rsidP="00CB33E4">
            <w:pPr>
              <w:spacing w:after="0"/>
              <w:rPr>
                <w:b/>
              </w:rPr>
            </w:pPr>
            <w:r>
              <w:rPr>
                <w:b/>
              </w:rPr>
              <w:t>£1,327</w:t>
            </w:r>
          </w:p>
        </w:tc>
        <w:tc>
          <w:tcPr>
            <w:tcW w:w="1672" w:type="dxa"/>
          </w:tcPr>
          <w:p w14:paraId="6D97265C" w14:textId="6758311D" w:rsidR="00CB33E4" w:rsidRPr="00CB33E4" w:rsidRDefault="00CB33E4" w:rsidP="00CB33E4">
            <w:pPr>
              <w:spacing w:after="0"/>
              <w:rPr>
                <w:b/>
              </w:rPr>
            </w:pPr>
            <w:r w:rsidRPr="00CB33E4">
              <w:rPr>
                <w:b/>
              </w:rPr>
              <w:t>£1,473</w:t>
            </w:r>
          </w:p>
        </w:tc>
      </w:tr>
      <w:tr w:rsidR="00CB33E4" w:rsidRPr="00CB33E4" w14:paraId="4CF049CF" w14:textId="5AA78E7B" w:rsidTr="00CB33E4">
        <w:trPr>
          <w:trHeight w:val="315"/>
        </w:trPr>
        <w:tc>
          <w:tcPr>
            <w:tcW w:w="2830" w:type="dxa"/>
            <w:noWrap/>
            <w:hideMark/>
          </w:tcPr>
          <w:p w14:paraId="1DF5D51E" w14:textId="6A718E6A" w:rsidR="00CB33E4" w:rsidRPr="00CB33E4" w:rsidRDefault="00CB33E4" w:rsidP="00CB33E4">
            <w:pPr>
              <w:spacing w:after="0"/>
              <w:rPr>
                <w:b/>
              </w:rPr>
            </w:pPr>
            <w:r w:rsidRPr="00CB33E4">
              <w:rPr>
                <w:b/>
              </w:rPr>
              <w:t xml:space="preserve">EDF </w:t>
            </w:r>
            <w:r w:rsidR="009239F1">
              <w:rPr>
                <w:b/>
              </w:rPr>
              <w:t>(Current supplier)</w:t>
            </w:r>
          </w:p>
        </w:tc>
        <w:tc>
          <w:tcPr>
            <w:tcW w:w="1560" w:type="dxa"/>
            <w:noWrap/>
            <w:hideMark/>
          </w:tcPr>
          <w:p w14:paraId="709232F0" w14:textId="77777777" w:rsidR="00CB33E4" w:rsidRPr="00CB33E4" w:rsidRDefault="00CB33E4" w:rsidP="00CB33E4">
            <w:pPr>
              <w:spacing w:after="0"/>
              <w:rPr>
                <w:b/>
              </w:rPr>
            </w:pPr>
            <w:r w:rsidRPr="00CB33E4">
              <w:rPr>
                <w:b/>
              </w:rPr>
              <w:t>0.259</w:t>
            </w:r>
          </w:p>
        </w:tc>
        <w:tc>
          <w:tcPr>
            <w:tcW w:w="1559" w:type="dxa"/>
            <w:noWrap/>
            <w:hideMark/>
          </w:tcPr>
          <w:p w14:paraId="33B904EB" w14:textId="77777777" w:rsidR="00CB33E4" w:rsidRPr="00CB33E4" w:rsidRDefault="00CB33E4" w:rsidP="00CB33E4">
            <w:pPr>
              <w:spacing w:after="0"/>
              <w:rPr>
                <w:b/>
              </w:rPr>
            </w:pPr>
            <w:r w:rsidRPr="00CB33E4">
              <w:rPr>
                <w:b/>
              </w:rPr>
              <w:t>0.35</w:t>
            </w:r>
          </w:p>
        </w:tc>
        <w:tc>
          <w:tcPr>
            <w:tcW w:w="1134" w:type="dxa"/>
          </w:tcPr>
          <w:p w14:paraId="1AA2DB19" w14:textId="2CFF481D" w:rsidR="00CB33E4" w:rsidRPr="00CB33E4" w:rsidRDefault="009239F1" w:rsidP="00CB33E4">
            <w:pPr>
              <w:spacing w:after="0"/>
              <w:rPr>
                <w:b/>
              </w:rPr>
            </w:pPr>
            <w:r>
              <w:rPr>
                <w:b/>
              </w:rPr>
              <w:t>127.75</w:t>
            </w:r>
          </w:p>
        </w:tc>
        <w:tc>
          <w:tcPr>
            <w:tcW w:w="1701" w:type="dxa"/>
            <w:noWrap/>
          </w:tcPr>
          <w:p w14:paraId="5BFE7C38" w14:textId="19C1203C" w:rsidR="00CB33E4" w:rsidRPr="00CB33E4" w:rsidRDefault="009239F1" w:rsidP="00CB33E4">
            <w:pPr>
              <w:spacing w:after="0"/>
              <w:rPr>
                <w:b/>
              </w:rPr>
            </w:pPr>
            <w:r>
              <w:rPr>
                <w:b/>
              </w:rPr>
              <w:t>£1,348</w:t>
            </w:r>
          </w:p>
        </w:tc>
        <w:tc>
          <w:tcPr>
            <w:tcW w:w="1672" w:type="dxa"/>
          </w:tcPr>
          <w:p w14:paraId="6911F6A6" w14:textId="3D611986" w:rsidR="00CB33E4" w:rsidRPr="00CB33E4" w:rsidRDefault="00CB33E4" w:rsidP="00CB33E4">
            <w:pPr>
              <w:spacing w:after="0"/>
              <w:rPr>
                <w:b/>
              </w:rPr>
            </w:pPr>
            <w:r w:rsidRPr="00CB33E4">
              <w:rPr>
                <w:b/>
              </w:rPr>
              <w:t>£1,476</w:t>
            </w:r>
          </w:p>
        </w:tc>
      </w:tr>
    </w:tbl>
    <w:p w14:paraId="052F01C3" w14:textId="77777777" w:rsidR="00CB33E4" w:rsidRDefault="00CB33E4" w:rsidP="00BA5B42">
      <w:pPr>
        <w:spacing w:after="0"/>
        <w:rPr>
          <w:b/>
        </w:rPr>
      </w:pPr>
    </w:p>
    <w:p w14:paraId="37CA9C43" w14:textId="764638BD" w:rsidR="0042026A" w:rsidRDefault="009239F1" w:rsidP="001813B2">
      <w:pPr>
        <w:spacing w:after="0"/>
        <w:rPr>
          <w:b/>
        </w:rPr>
      </w:pPr>
      <w:r>
        <w:rPr>
          <w:b/>
        </w:rPr>
        <w:t>*If less electricity used next year, we have calculated this to see if SSE if still cheaper despite having a more expensive standing charge- shows that savings are less apparent. So if you think usage will remain the same, then go with SSE as it has a cheaper unit cost</w:t>
      </w:r>
    </w:p>
    <w:p w14:paraId="1F4388F9" w14:textId="7CEA7153" w:rsidR="0042026A" w:rsidRDefault="0042026A" w:rsidP="001813B2">
      <w:pPr>
        <w:spacing w:after="0"/>
        <w:rPr>
          <w:b/>
        </w:rPr>
      </w:pPr>
    </w:p>
    <w:p w14:paraId="490A782F" w14:textId="31B186CE" w:rsidR="0042026A" w:rsidRDefault="0042026A" w:rsidP="001813B2">
      <w:pPr>
        <w:spacing w:after="0"/>
        <w:rPr>
          <w:b/>
        </w:rPr>
      </w:pPr>
    </w:p>
    <w:p w14:paraId="028D5D9D" w14:textId="044CFC2C" w:rsidR="0042026A" w:rsidRDefault="0042026A" w:rsidP="001813B2">
      <w:pPr>
        <w:spacing w:after="0"/>
        <w:rPr>
          <w:b/>
        </w:rPr>
      </w:pPr>
    </w:p>
    <w:p w14:paraId="1872D6F1" w14:textId="08AC9371" w:rsidR="0042026A" w:rsidRDefault="0042026A" w:rsidP="001813B2">
      <w:pPr>
        <w:spacing w:after="0"/>
        <w:rPr>
          <w:b/>
        </w:rPr>
      </w:pPr>
    </w:p>
    <w:p w14:paraId="5FA10D9C" w14:textId="4093FAAB" w:rsidR="0042026A" w:rsidRDefault="0042026A" w:rsidP="001813B2">
      <w:pPr>
        <w:spacing w:after="0"/>
        <w:rPr>
          <w:b/>
        </w:rPr>
      </w:pPr>
    </w:p>
    <w:p w14:paraId="08043DF4" w14:textId="25C9663A" w:rsidR="0042026A" w:rsidRDefault="0042026A" w:rsidP="001813B2">
      <w:pPr>
        <w:spacing w:after="0"/>
        <w:rPr>
          <w:b/>
        </w:rPr>
      </w:pPr>
    </w:p>
    <w:sectPr w:rsidR="0042026A" w:rsidSect="00906D65">
      <w:headerReference w:type="default" r:id="rId10"/>
      <w:footerReference w:type="default" r:id="rId11"/>
      <w:headerReference w:type="first" r:id="rId12"/>
      <w:footerReference w:type="first" r:id="rId13"/>
      <w:pgSz w:w="11906" w:h="16838"/>
      <w:pgMar w:top="720" w:right="720" w:bottom="720" w:left="720" w:header="34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B3E7" w14:textId="77777777" w:rsidR="004823FA" w:rsidRDefault="004823FA" w:rsidP="004E13A8">
      <w:pPr>
        <w:spacing w:after="0" w:line="240" w:lineRule="auto"/>
      </w:pPr>
      <w:r>
        <w:separator/>
      </w:r>
    </w:p>
  </w:endnote>
  <w:endnote w:type="continuationSeparator" w:id="0">
    <w:p w14:paraId="58DFAE58" w14:textId="77777777" w:rsidR="004823FA" w:rsidRDefault="004823FA"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02A5" w14:textId="1C4937FB" w:rsidR="0066586C" w:rsidRPr="00E34706" w:rsidRDefault="0066586C" w:rsidP="0066586C">
    <w:pPr>
      <w:spacing w:after="234" w:line="249" w:lineRule="auto"/>
      <w:ind w:left="101" w:hanging="10"/>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6BDB" w14:textId="74DD77A6" w:rsidR="00A8195D" w:rsidRDefault="00A8195D">
    <w:pPr>
      <w:pStyle w:val="Footer"/>
    </w:pPr>
    <w:r w:rsidRPr="00A8195D">
      <w:t>*Members of the public are invited to attend and can address the Council for 3 minutes each at the beginning of the meeting through the Chair in relation to any item on the Agenda.  The maximum time limit for this item is 15 mins, in accordance with the Standing Orders adopted by the Council.  The Meeting may be recorded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6A62" w14:textId="77777777" w:rsidR="004823FA" w:rsidRDefault="004823FA" w:rsidP="004E13A8">
      <w:pPr>
        <w:spacing w:after="0" w:line="240" w:lineRule="auto"/>
      </w:pPr>
      <w:r>
        <w:separator/>
      </w:r>
    </w:p>
  </w:footnote>
  <w:footnote w:type="continuationSeparator" w:id="0">
    <w:p w14:paraId="49215B32" w14:textId="77777777" w:rsidR="004823FA" w:rsidRDefault="004823FA"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41D5" w14:textId="77777777" w:rsidR="00906D65" w:rsidRPr="00656447" w:rsidRDefault="00906D65"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3360" behindDoc="1" locked="0" layoutInCell="1" allowOverlap="1" wp14:anchorId="4CD8B06D" wp14:editId="2FF51A91">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23AD55A2" w14:textId="77777777" w:rsidR="00906D65" w:rsidRPr="002738F3" w:rsidRDefault="00906D65"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4BBAE5BE" w14:textId="77777777" w:rsidR="00906D65" w:rsidRPr="002738F3" w:rsidRDefault="00906D65"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5C0C8536" w14:textId="79A3AC92" w:rsidR="00906D65" w:rsidRPr="002738F3" w:rsidRDefault="00906D65"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w:t>
    </w:r>
    <w:r w:rsidR="00470DDA">
      <w:rPr>
        <w:rFonts w:ascii="Arial" w:eastAsia="Arial" w:hAnsi="Arial" w:cs="Arial"/>
        <w:color w:val="0000FF"/>
        <w:sz w:val="20"/>
        <w:szCs w:val="20"/>
      </w:rPr>
      <w:t>council</w:t>
    </w:r>
    <w:r w:rsidRPr="002738F3">
      <w:rPr>
        <w:rFonts w:ascii="Arial" w:eastAsia="Arial" w:hAnsi="Arial" w:cs="Arial"/>
        <w:color w:val="0000FF"/>
        <w:sz w:val="20"/>
        <w:szCs w:val="20"/>
      </w:rPr>
      <w:t>.co.uk</w:t>
    </w:r>
  </w:p>
  <w:p w14:paraId="675F44A1" w14:textId="77777777" w:rsidR="00906D65" w:rsidRPr="002738F3" w:rsidRDefault="00906D65" w:rsidP="00A74B76">
    <w:pPr>
      <w:spacing w:after="0" w:line="240" w:lineRule="auto"/>
      <w:ind w:right="1225"/>
      <w:jc w:val="center"/>
      <w:rPr>
        <w:sz w:val="20"/>
        <w:szCs w:val="20"/>
      </w:rPr>
    </w:pPr>
  </w:p>
  <w:p w14:paraId="618ADC80" w14:textId="11774503" w:rsidR="004E13A8" w:rsidRPr="002738F3" w:rsidRDefault="004E13A8" w:rsidP="005C15F4">
    <w:pPr>
      <w:spacing w:after="0" w:line="240" w:lineRule="auto"/>
      <w:ind w:left="10" w:right="1225" w:firstLine="710"/>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DE82" w14:textId="77777777" w:rsidR="00557D8C" w:rsidRPr="00656447" w:rsidRDefault="00557D8C"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1312" behindDoc="1" locked="0" layoutInCell="1" allowOverlap="1" wp14:anchorId="689A98B7" wp14:editId="0DE18E35">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4BB3FF90" w14:textId="77777777" w:rsidR="00557D8C" w:rsidRPr="002738F3" w:rsidRDefault="00557D8C"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53600516" w14:textId="77777777" w:rsidR="00557D8C" w:rsidRPr="002738F3" w:rsidRDefault="00557D8C"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25B00BAA" w14:textId="77777777" w:rsidR="00557D8C" w:rsidRPr="002738F3" w:rsidRDefault="00557D8C"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DBC3718" w14:textId="77777777" w:rsidR="00557D8C" w:rsidRPr="002738F3" w:rsidRDefault="00557D8C" w:rsidP="00A74B76">
    <w:pPr>
      <w:spacing w:after="0" w:line="240" w:lineRule="auto"/>
      <w:ind w:right="1225"/>
      <w:jc w:val="center"/>
      <w:rPr>
        <w:sz w:val="20"/>
        <w:szCs w:val="20"/>
      </w:rPr>
    </w:pPr>
  </w:p>
  <w:p w14:paraId="385D5D00" w14:textId="77777777" w:rsidR="000F73CA" w:rsidRDefault="000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952E3"/>
    <w:multiLevelType w:val="hybridMultilevel"/>
    <w:tmpl w:val="2DA09D74"/>
    <w:lvl w:ilvl="0" w:tplc="68588E78">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0C92241"/>
    <w:multiLevelType w:val="hybridMultilevel"/>
    <w:tmpl w:val="A318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A2C71"/>
    <w:multiLevelType w:val="hybridMultilevel"/>
    <w:tmpl w:val="8466A7FA"/>
    <w:lvl w:ilvl="0" w:tplc="08090017">
      <w:start w:val="1"/>
      <w:numFmt w:val="low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9"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E73B4"/>
    <w:multiLevelType w:val="hybridMultilevel"/>
    <w:tmpl w:val="7C3EC3D2"/>
    <w:lvl w:ilvl="0" w:tplc="510C9E4E">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0"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9A74F1"/>
    <w:multiLevelType w:val="hybridMultilevel"/>
    <w:tmpl w:val="57585622"/>
    <w:lvl w:ilvl="0" w:tplc="47F4E34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6" w15:restartNumberingAfterBreak="0">
    <w:nsid w:val="3BC77F24"/>
    <w:multiLevelType w:val="hybridMultilevel"/>
    <w:tmpl w:val="7C8EBF50"/>
    <w:lvl w:ilvl="0" w:tplc="C4A21A18">
      <w:start w:val="72"/>
      <w:numFmt w:val="decimal"/>
      <w:lvlText w:val="21/%1"/>
      <w:lvlJc w:val="left"/>
      <w:pPr>
        <w:ind w:left="170" w:hanging="17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7" w15:restartNumberingAfterBreak="0">
    <w:nsid w:val="47AF507F"/>
    <w:multiLevelType w:val="hybridMultilevel"/>
    <w:tmpl w:val="795AE6B4"/>
    <w:lvl w:ilvl="0" w:tplc="A852D3E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15:restartNumberingAfterBreak="0">
    <w:nsid w:val="4BD97F15"/>
    <w:multiLevelType w:val="hybridMultilevel"/>
    <w:tmpl w:val="2A6A77C6"/>
    <w:lvl w:ilvl="0" w:tplc="08090017">
      <w:start w:val="1"/>
      <w:numFmt w:val="lowerLetter"/>
      <w:lvlText w:val="%1)"/>
      <w:lvlJc w:val="left"/>
      <w:pPr>
        <w:ind w:left="1800" w:hanging="360"/>
      </w:pPr>
      <w:rPr>
        <w:b/>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15:restartNumberingAfterBreak="0">
    <w:nsid w:val="51A14E0C"/>
    <w:multiLevelType w:val="hybridMultilevel"/>
    <w:tmpl w:val="2AAC7974"/>
    <w:lvl w:ilvl="0" w:tplc="8536D58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0"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5" w15:restartNumberingAfterBreak="0">
    <w:nsid w:val="735F437A"/>
    <w:multiLevelType w:val="hybridMultilevel"/>
    <w:tmpl w:val="8A1A9584"/>
    <w:lvl w:ilvl="0" w:tplc="08090017">
      <w:start w:val="1"/>
      <w:numFmt w:val="low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6"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324089"/>
    <w:multiLevelType w:val="hybridMultilevel"/>
    <w:tmpl w:val="2018AD7C"/>
    <w:lvl w:ilvl="0" w:tplc="6F24591C">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8"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
  </w:num>
  <w:num w:numId="2">
    <w:abstractNumId w:val="39"/>
  </w:num>
  <w:num w:numId="3">
    <w:abstractNumId w:val="32"/>
  </w:num>
  <w:num w:numId="4">
    <w:abstractNumId w:val="12"/>
  </w:num>
  <w:num w:numId="5">
    <w:abstractNumId w:val="7"/>
  </w:num>
  <w:num w:numId="6">
    <w:abstractNumId w:val="20"/>
  </w:num>
  <w:num w:numId="7">
    <w:abstractNumId w:val="11"/>
  </w:num>
  <w:num w:numId="8">
    <w:abstractNumId w:val="36"/>
  </w:num>
  <w:num w:numId="9">
    <w:abstractNumId w:val="31"/>
  </w:num>
  <w:num w:numId="10">
    <w:abstractNumId w:val="14"/>
  </w:num>
  <w:num w:numId="11">
    <w:abstractNumId w:val="33"/>
  </w:num>
  <w:num w:numId="12">
    <w:abstractNumId w:val="4"/>
  </w:num>
  <w:num w:numId="13">
    <w:abstractNumId w:val="9"/>
  </w:num>
  <w:num w:numId="14">
    <w:abstractNumId w:val="30"/>
  </w:num>
  <w:num w:numId="15">
    <w:abstractNumId w:val="10"/>
  </w:num>
  <w:num w:numId="16">
    <w:abstractNumId w:val="15"/>
  </w:num>
  <w:num w:numId="17">
    <w:abstractNumId w:val="21"/>
  </w:num>
  <w:num w:numId="18">
    <w:abstractNumId w:val="38"/>
  </w:num>
  <w:num w:numId="19">
    <w:abstractNumId w:val="18"/>
  </w:num>
  <w:num w:numId="20">
    <w:abstractNumId w:val="16"/>
  </w:num>
  <w:num w:numId="21">
    <w:abstractNumId w:val="17"/>
  </w:num>
  <w:num w:numId="22">
    <w:abstractNumId w:val="23"/>
  </w:num>
  <w:num w:numId="23">
    <w:abstractNumId w:val="25"/>
  </w:num>
  <w:num w:numId="24">
    <w:abstractNumId w:val="1"/>
  </w:num>
  <w:num w:numId="25">
    <w:abstractNumId w:val="24"/>
  </w:num>
  <w:num w:numId="26">
    <w:abstractNumId w:val="6"/>
  </w:num>
  <w:num w:numId="27">
    <w:abstractNumId w:val="19"/>
  </w:num>
  <w:num w:numId="28">
    <w:abstractNumId w:val="0"/>
  </w:num>
  <w:num w:numId="29">
    <w:abstractNumId w:val="40"/>
  </w:num>
  <w:num w:numId="30">
    <w:abstractNumId w:val="26"/>
  </w:num>
  <w:num w:numId="31">
    <w:abstractNumId w:val="35"/>
  </w:num>
  <w:num w:numId="32">
    <w:abstractNumId w:val="34"/>
  </w:num>
  <w:num w:numId="33">
    <w:abstractNumId w:val="22"/>
  </w:num>
  <w:num w:numId="34">
    <w:abstractNumId w:val="13"/>
  </w:num>
  <w:num w:numId="35">
    <w:abstractNumId w:val="8"/>
  </w:num>
  <w:num w:numId="36">
    <w:abstractNumId w:val="27"/>
  </w:num>
  <w:num w:numId="37">
    <w:abstractNumId w:val="29"/>
  </w:num>
  <w:num w:numId="38">
    <w:abstractNumId w:val="3"/>
  </w:num>
  <w:num w:numId="39">
    <w:abstractNumId w:val="37"/>
  </w:num>
  <w:num w:numId="40">
    <w:abstractNumId w:val="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03022"/>
    <w:rsid w:val="000130B3"/>
    <w:rsid w:val="00024961"/>
    <w:rsid w:val="00026DD0"/>
    <w:rsid w:val="000304BD"/>
    <w:rsid w:val="00043AB3"/>
    <w:rsid w:val="000500C4"/>
    <w:rsid w:val="00066981"/>
    <w:rsid w:val="00067002"/>
    <w:rsid w:val="00073554"/>
    <w:rsid w:val="00076C32"/>
    <w:rsid w:val="00077631"/>
    <w:rsid w:val="00081560"/>
    <w:rsid w:val="000916EC"/>
    <w:rsid w:val="000926AC"/>
    <w:rsid w:val="00094081"/>
    <w:rsid w:val="000952BE"/>
    <w:rsid w:val="000A1DE8"/>
    <w:rsid w:val="000A5B17"/>
    <w:rsid w:val="000A69E2"/>
    <w:rsid w:val="000B1AC6"/>
    <w:rsid w:val="000B7652"/>
    <w:rsid w:val="000C4391"/>
    <w:rsid w:val="000E4F5B"/>
    <w:rsid w:val="000E6245"/>
    <w:rsid w:val="000F0C5E"/>
    <w:rsid w:val="000F1BBE"/>
    <w:rsid w:val="000F4BD3"/>
    <w:rsid w:val="000F6FE5"/>
    <w:rsid w:val="000F73CA"/>
    <w:rsid w:val="000F7658"/>
    <w:rsid w:val="00102326"/>
    <w:rsid w:val="00105E4A"/>
    <w:rsid w:val="00142A80"/>
    <w:rsid w:val="00145E9D"/>
    <w:rsid w:val="00146839"/>
    <w:rsid w:val="00153E79"/>
    <w:rsid w:val="00155563"/>
    <w:rsid w:val="00160138"/>
    <w:rsid w:val="00160509"/>
    <w:rsid w:val="00170260"/>
    <w:rsid w:val="00172FEE"/>
    <w:rsid w:val="00173D26"/>
    <w:rsid w:val="001772BE"/>
    <w:rsid w:val="0018006C"/>
    <w:rsid w:val="001813B2"/>
    <w:rsid w:val="001834E6"/>
    <w:rsid w:val="001A2DDC"/>
    <w:rsid w:val="001A3A15"/>
    <w:rsid w:val="001C20F0"/>
    <w:rsid w:val="001D0863"/>
    <w:rsid w:val="001D1D7F"/>
    <w:rsid w:val="001D68FA"/>
    <w:rsid w:val="001E08AB"/>
    <w:rsid w:val="001E29AF"/>
    <w:rsid w:val="001E2FE8"/>
    <w:rsid w:val="001E3C73"/>
    <w:rsid w:val="001E3E8C"/>
    <w:rsid w:val="001E4CEC"/>
    <w:rsid w:val="001F41F4"/>
    <w:rsid w:val="001F4F40"/>
    <w:rsid w:val="00203572"/>
    <w:rsid w:val="002057E1"/>
    <w:rsid w:val="00213A92"/>
    <w:rsid w:val="00213F59"/>
    <w:rsid w:val="00216F09"/>
    <w:rsid w:val="002240B7"/>
    <w:rsid w:val="00234470"/>
    <w:rsid w:val="00241831"/>
    <w:rsid w:val="00244508"/>
    <w:rsid w:val="00252F7E"/>
    <w:rsid w:val="002571FF"/>
    <w:rsid w:val="00260C6C"/>
    <w:rsid w:val="0026675B"/>
    <w:rsid w:val="00270252"/>
    <w:rsid w:val="002738F3"/>
    <w:rsid w:val="00275588"/>
    <w:rsid w:val="00281667"/>
    <w:rsid w:val="00286141"/>
    <w:rsid w:val="002877F4"/>
    <w:rsid w:val="00290198"/>
    <w:rsid w:val="00295F5D"/>
    <w:rsid w:val="0029668C"/>
    <w:rsid w:val="002A5D53"/>
    <w:rsid w:val="002B1DD2"/>
    <w:rsid w:val="002B55CD"/>
    <w:rsid w:val="002D5F07"/>
    <w:rsid w:val="002D63AD"/>
    <w:rsid w:val="002E1C73"/>
    <w:rsid w:val="002E21F3"/>
    <w:rsid w:val="002E6F58"/>
    <w:rsid w:val="002F02A7"/>
    <w:rsid w:val="00307E89"/>
    <w:rsid w:val="00320A8C"/>
    <w:rsid w:val="0033312D"/>
    <w:rsid w:val="00334A40"/>
    <w:rsid w:val="003357AB"/>
    <w:rsid w:val="00351D7B"/>
    <w:rsid w:val="00354E02"/>
    <w:rsid w:val="00355E8C"/>
    <w:rsid w:val="00355EDA"/>
    <w:rsid w:val="00360C4A"/>
    <w:rsid w:val="00365D36"/>
    <w:rsid w:val="00372249"/>
    <w:rsid w:val="00373B11"/>
    <w:rsid w:val="003768E7"/>
    <w:rsid w:val="00381F63"/>
    <w:rsid w:val="003826C0"/>
    <w:rsid w:val="00383463"/>
    <w:rsid w:val="003A3178"/>
    <w:rsid w:val="003A74D5"/>
    <w:rsid w:val="003A7C76"/>
    <w:rsid w:val="003B172C"/>
    <w:rsid w:val="003B4C67"/>
    <w:rsid w:val="003B78E1"/>
    <w:rsid w:val="003C20E2"/>
    <w:rsid w:val="003D2F1C"/>
    <w:rsid w:val="003F43E4"/>
    <w:rsid w:val="004050CA"/>
    <w:rsid w:val="004075F2"/>
    <w:rsid w:val="00413A88"/>
    <w:rsid w:val="00417A17"/>
    <w:rsid w:val="0042026A"/>
    <w:rsid w:val="004358C5"/>
    <w:rsid w:val="004425C0"/>
    <w:rsid w:val="00446F7F"/>
    <w:rsid w:val="00451C04"/>
    <w:rsid w:val="00452656"/>
    <w:rsid w:val="0045555A"/>
    <w:rsid w:val="0045675D"/>
    <w:rsid w:val="0045726A"/>
    <w:rsid w:val="00463483"/>
    <w:rsid w:val="00470DDA"/>
    <w:rsid w:val="004730C6"/>
    <w:rsid w:val="004823FA"/>
    <w:rsid w:val="00487CBD"/>
    <w:rsid w:val="00491897"/>
    <w:rsid w:val="004A445F"/>
    <w:rsid w:val="004B1098"/>
    <w:rsid w:val="004C797D"/>
    <w:rsid w:val="004D03E7"/>
    <w:rsid w:val="004D26DC"/>
    <w:rsid w:val="004D7CA8"/>
    <w:rsid w:val="004E0017"/>
    <w:rsid w:val="004E13A8"/>
    <w:rsid w:val="004E17A3"/>
    <w:rsid w:val="004F1F09"/>
    <w:rsid w:val="00503D3C"/>
    <w:rsid w:val="00504989"/>
    <w:rsid w:val="0051756F"/>
    <w:rsid w:val="0052449B"/>
    <w:rsid w:val="0053277A"/>
    <w:rsid w:val="0054020F"/>
    <w:rsid w:val="00541DE6"/>
    <w:rsid w:val="00552004"/>
    <w:rsid w:val="005523B6"/>
    <w:rsid w:val="00553DF1"/>
    <w:rsid w:val="00557D8C"/>
    <w:rsid w:val="005612DF"/>
    <w:rsid w:val="00562F89"/>
    <w:rsid w:val="00564FE7"/>
    <w:rsid w:val="00580A94"/>
    <w:rsid w:val="00582FFB"/>
    <w:rsid w:val="00591369"/>
    <w:rsid w:val="00591F1F"/>
    <w:rsid w:val="00592E64"/>
    <w:rsid w:val="00597785"/>
    <w:rsid w:val="005A1242"/>
    <w:rsid w:val="005A2121"/>
    <w:rsid w:val="005A4921"/>
    <w:rsid w:val="005A49E9"/>
    <w:rsid w:val="005A4AE4"/>
    <w:rsid w:val="005A7854"/>
    <w:rsid w:val="005C15F4"/>
    <w:rsid w:val="005D0370"/>
    <w:rsid w:val="005D57EF"/>
    <w:rsid w:val="005D65F6"/>
    <w:rsid w:val="005E339E"/>
    <w:rsid w:val="005F11A2"/>
    <w:rsid w:val="00600C75"/>
    <w:rsid w:val="00600E01"/>
    <w:rsid w:val="00601F29"/>
    <w:rsid w:val="006033E7"/>
    <w:rsid w:val="00612696"/>
    <w:rsid w:val="006172EB"/>
    <w:rsid w:val="0061770F"/>
    <w:rsid w:val="00620190"/>
    <w:rsid w:val="006366E5"/>
    <w:rsid w:val="00640071"/>
    <w:rsid w:val="006407A1"/>
    <w:rsid w:val="00642C77"/>
    <w:rsid w:val="0066221F"/>
    <w:rsid w:val="0066586C"/>
    <w:rsid w:val="006719A1"/>
    <w:rsid w:val="00675654"/>
    <w:rsid w:val="00680DF3"/>
    <w:rsid w:val="0068143D"/>
    <w:rsid w:val="00682648"/>
    <w:rsid w:val="00682B18"/>
    <w:rsid w:val="00683BE4"/>
    <w:rsid w:val="00687396"/>
    <w:rsid w:val="00690133"/>
    <w:rsid w:val="00694677"/>
    <w:rsid w:val="00695C0F"/>
    <w:rsid w:val="00695C9D"/>
    <w:rsid w:val="006A34BB"/>
    <w:rsid w:val="006A712D"/>
    <w:rsid w:val="006B05EB"/>
    <w:rsid w:val="006B6163"/>
    <w:rsid w:val="006B6D52"/>
    <w:rsid w:val="006C073A"/>
    <w:rsid w:val="006D16BF"/>
    <w:rsid w:val="006D3653"/>
    <w:rsid w:val="006E3FC8"/>
    <w:rsid w:val="006E5F3D"/>
    <w:rsid w:val="006F6535"/>
    <w:rsid w:val="006F7E2B"/>
    <w:rsid w:val="007071C6"/>
    <w:rsid w:val="00721282"/>
    <w:rsid w:val="007377A0"/>
    <w:rsid w:val="00737C75"/>
    <w:rsid w:val="00742549"/>
    <w:rsid w:val="00745AB5"/>
    <w:rsid w:val="00757522"/>
    <w:rsid w:val="007605BF"/>
    <w:rsid w:val="007614A3"/>
    <w:rsid w:val="00770FCF"/>
    <w:rsid w:val="00774055"/>
    <w:rsid w:val="0078249C"/>
    <w:rsid w:val="00791D29"/>
    <w:rsid w:val="007A02D5"/>
    <w:rsid w:val="007A1D10"/>
    <w:rsid w:val="007B39F8"/>
    <w:rsid w:val="007B777A"/>
    <w:rsid w:val="007C1B2C"/>
    <w:rsid w:val="007C1D06"/>
    <w:rsid w:val="007C6390"/>
    <w:rsid w:val="007C7E8D"/>
    <w:rsid w:val="007F1058"/>
    <w:rsid w:val="007F5CDE"/>
    <w:rsid w:val="00800A9C"/>
    <w:rsid w:val="00804FFA"/>
    <w:rsid w:val="008054ED"/>
    <w:rsid w:val="008112A5"/>
    <w:rsid w:val="00811D0A"/>
    <w:rsid w:val="00814CCB"/>
    <w:rsid w:val="008201E4"/>
    <w:rsid w:val="0082251F"/>
    <w:rsid w:val="00827321"/>
    <w:rsid w:val="00827996"/>
    <w:rsid w:val="00833CA5"/>
    <w:rsid w:val="008352F8"/>
    <w:rsid w:val="0084405E"/>
    <w:rsid w:val="008441E8"/>
    <w:rsid w:val="0086011D"/>
    <w:rsid w:val="0086269E"/>
    <w:rsid w:val="00864B16"/>
    <w:rsid w:val="0087013A"/>
    <w:rsid w:val="00870465"/>
    <w:rsid w:val="00870916"/>
    <w:rsid w:val="008756DF"/>
    <w:rsid w:val="00876FA8"/>
    <w:rsid w:val="00881913"/>
    <w:rsid w:val="0088223C"/>
    <w:rsid w:val="00885938"/>
    <w:rsid w:val="00890CDF"/>
    <w:rsid w:val="00892B2D"/>
    <w:rsid w:val="00895DDE"/>
    <w:rsid w:val="008A03FF"/>
    <w:rsid w:val="008A1522"/>
    <w:rsid w:val="008B16D1"/>
    <w:rsid w:val="008B7B78"/>
    <w:rsid w:val="008C4132"/>
    <w:rsid w:val="008C62F8"/>
    <w:rsid w:val="008C7B90"/>
    <w:rsid w:val="008E2384"/>
    <w:rsid w:val="0090621A"/>
    <w:rsid w:val="00906D65"/>
    <w:rsid w:val="0091232D"/>
    <w:rsid w:val="00913CE7"/>
    <w:rsid w:val="009239F1"/>
    <w:rsid w:val="0092459C"/>
    <w:rsid w:val="00927183"/>
    <w:rsid w:val="009307D5"/>
    <w:rsid w:val="0093507D"/>
    <w:rsid w:val="00942091"/>
    <w:rsid w:val="0094384A"/>
    <w:rsid w:val="00946AAD"/>
    <w:rsid w:val="00951EC6"/>
    <w:rsid w:val="0095209E"/>
    <w:rsid w:val="00952377"/>
    <w:rsid w:val="00955E26"/>
    <w:rsid w:val="009564E9"/>
    <w:rsid w:val="0095669E"/>
    <w:rsid w:val="00962D1D"/>
    <w:rsid w:val="00967057"/>
    <w:rsid w:val="00973C9A"/>
    <w:rsid w:val="0097461F"/>
    <w:rsid w:val="00974A40"/>
    <w:rsid w:val="009752FF"/>
    <w:rsid w:val="00983542"/>
    <w:rsid w:val="00984EE7"/>
    <w:rsid w:val="0099002D"/>
    <w:rsid w:val="00990686"/>
    <w:rsid w:val="00992F16"/>
    <w:rsid w:val="00994F6B"/>
    <w:rsid w:val="009963AA"/>
    <w:rsid w:val="009A1013"/>
    <w:rsid w:val="009A1EED"/>
    <w:rsid w:val="009C2124"/>
    <w:rsid w:val="009D139E"/>
    <w:rsid w:val="009D2C33"/>
    <w:rsid w:val="009D5244"/>
    <w:rsid w:val="009E0371"/>
    <w:rsid w:val="009E60A6"/>
    <w:rsid w:val="009F2307"/>
    <w:rsid w:val="00A00DC6"/>
    <w:rsid w:val="00A0591E"/>
    <w:rsid w:val="00A10D2C"/>
    <w:rsid w:val="00A23C40"/>
    <w:rsid w:val="00A260B3"/>
    <w:rsid w:val="00A33BE1"/>
    <w:rsid w:val="00A37DAA"/>
    <w:rsid w:val="00A44314"/>
    <w:rsid w:val="00A605CD"/>
    <w:rsid w:val="00A60FC1"/>
    <w:rsid w:val="00A8195D"/>
    <w:rsid w:val="00A8656E"/>
    <w:rsid w:val="00A90F91"/>
    <w:rsid w:val="00A919BF"/>
    <w:rsid w:val="00A925A4"/>
    <w:rsid w:val="00A97026"/>
    <w:rsid w:val="00AA19C3"/>
    <w:rsid w:val="00AA2442"/>
    <w:rsid w:val="00AA4475"/>
    <w:rsid w:val="00AB2DE4"/>
    <w:rsid w:val="00AB422A"/>
    <w:rsid w:val="00AB72E9"/>
    <w:rsid w:val="00AC449F"/>
    <w:rsid w:val="00AC6CBC"/>
    <w:rsid w:val="00AD479B"/>
    <w:rsid w:val="00AD718D"/>
    <w:rsid w:val="00AF0D19"/>
    <w:rsid w:val="00AF1720"/>
    <w:rsid w:val="00AF5431"/>
    <w:rsid w:val="00B207F9"/>
    <w:rsid w:val="00B7748D"/>
    <w:rsid w:val="00B776BE"/>
    <w:rsid w:val="00B86813"/>
    <w:rsid w:val="00B87852"/>
    <w:rsid w:val="00B94853"/>
    <w:rsid w:val="00B94B86"/>
    <w:rsid w:val="00B968D5"/>
    <w:rsid w:val="00BA0E1A"/>
    <w:rsid w:val="00BA1109"/>
    <w:rsid w:val="00BA21CB"/>
    <w:rsid w:val="00BA2F7F"/>
    <w:rsid w:val="00BA5B42"/>
    <w:rsid w:val="00BB4013"/>
    <w:rsid w:val="00BB7D3B"/>
    <w:rsid w:val="00BC7293"/>
    <w:rsid w:val="00BD008D"/>
    <w:rsid w:val="00BD2ED6"/>
    <w:rsid w:val="00BD74E2"/>
    <w:rsid w:val="00BE30DF"/>
    <w:rsid w:val="00BE45B6"/>
    <w:rsid w:val="00BE7F9C"/>
    <w:rsid w:val="00BF34F8"/>
    <w:rsid w:val="00BF4593"/>
    <w:rsid w:val="00BF5ADB"/>
    <w:rsid w:val="00C048E1"/>
    <w:rsid w:val="00C04ECF"/>
    <w:rsid w:val="00C059CD"/>
    <w:rsid w:val="00C149AD"/>
    <w:rsid w:val="00C171CD"/>
    <w:rsid w:val="00C24290"/>
    <w:rsid w:val="00C278FE"/>
    <w:rsid w:val="00C31541"/>
    <w:rsid w:val="00C33930"/>
    <w:rsid w:val="00C528C2"/>
    <w:rsid w:val="00C53711"/>
    <w:rsid w:val="00C53DB6"/>
    <w:rsid w:val="00C62ABE"/>
    <w:rsid w:val="00C62FED"/>
    <w:rsid w:val="00C67B45"/>
    <w:rsid w:val="00C74239"/>
    <w:rsid w:val="00C873AE"/>
    <w:rsid w:val="00C87A09"/>
    <w:rsid w:val="00C95A32"/>
    <w:rsid w:val="00C97629"/>
    <w:rsid w:val="00CA2DB9"/>
    <w:rsid w:val="00CA363D"/>
    <w:rsid w:val="00CB33E4"/>
    <w:rsid w:val="00CB3C53"/>
    <w:rsid w:val="00CB3D13"/>
    <w:rsid w:val="00CC28A7"/>
    <w:rsid w:val="00CC4206"/>
    <w:rsid w:val="00CC4AE0"/>
    <w:rsid w:val="00CD7809"/>
    <w:rsid w:val="00CE0497"/>
    <w:rsid w:val="00CE1C80"/>
    <w:rsid w:val="00CF3FB5"/>
    <w:rsid w:val="00CF7280"/>
    <w:rsid w:val="00D00E15"/>
    <w:rsid w:val="00D17F7F"/>
    <w:rsid w:val="00D24880"/>
    <w:rsid w:val="00D34C53"/>
    <w:rsid w:val="00D42E3B"/>
    <w:rsid w:val="00D46F8F"/>
    <w:rsid w:val="00D5010B"/>
    <w:rsid w:val="00D52141"/>
    <w:rsid w:val="00D53A20"/>
    <w:rsid w:val="00D55442"/>
    <w:rsid w:val="00D5760C"/>
    <w:rsid w:val="00D62AA1"/>
    <w:rsid w:val="00D654FE"/>
    <w:rsid w:val="00D7025A"/>
    <w:rsid w:val="00D7108C"/>
    <w:rsid w:val="00D718BB"/>
    <w:rsid w:val="00D7302D"/>
    <w:rsid w:val="00D74015"/>
    <w:rsid w:val="00D90ADF"/>
    <w:rsid w:val="00D933B8"/>
    <w:rsid w:val="00D95EA7"/>
    <w:rsid w:val="00D96A4C"/>
    <w:rsid w:val="00DA311A"/>
    <w:rsid w:val="00DB0577"/>
    <w:rsid w:val="00DB3DC1"/>
    <w:rsid w:val="00DB5C98"/>
    <w:rsid w:val="00DB5CA7"/>
    <w:rsid w:val="00DB73DE"/>
    <w:rsid w:val="00DC2600"/>
    <w:rsid w:val="00DD4DE9"/>
    <w:rsid w:val="00DE7EF6"/>
    <w:rsid w:val="00DF2597"/>
    <w:rsid w:val="00DF705F"/>
    <w:rsid w:val="00E01D39"/>
    <w:rsid w:val="00E11F60"/>
    <w:rsid w:val="00E12D26"/>
    <w:rsid w:val="00E14E64"/>
    <w:rsid w:val="00E34706"/>
    <w:rsid w:val="00E366D8"/>
    <w:rsid w:val="00E369F5"/>
    <w:rsid w:val="00E40BAC"/>
    <w:rsid w:val="00E45FC0"/>
    <w:rsid w:val="00E5059F"/>
    <w:rsid w:val="00E610F0"/>
    <w:rsid w:val="00E61DC9"/>
    <w:rsid w:val="00E61DD1"/>
    <w:rsid w:val="00E6282D"/>
    <w:rsid w:val="00E6739F"/>
    <w:rsid w:val="00E71919"/>
    <w:rsid w:val="00E72763"/>
    <w:rsid w:val="00E74C56"/>
    <w:rsid w:val="00E77270"/>
    <w:rsid w:val="00E80404"/>
    <w:rsid w:val="00E86342"/>
    <w:rsid w:val="00E90FD6"/>
    <w:rsid w:val="00E92ABB"/>
    <w:rsid w:val="00EA1FAD"/>
    <w:rsid w:val="00EA400F"/>
    <w:rsid w:val="00EA68D3"/>
    <w:rsid w:val="00EA75D0"/>
    <w:rsid w:val="00EB1C10"/>
    <w:rsid w:val="00EC189D"/>
    <w:rsid w:val="00EC5E48"/>
    <w:rsid w:val="00ED2F52"/>
    <w:rsid w:val="00ED6EA5"/>
    <w:rsid w:val="00EE3F73"/>
    <w:rsid w:val="00EE7A48"/>
    <w:rsid w:val="00F12CFD"/>
    <w:rsid w:val="00F22CA0"/>
    <w:rsid w:val="00F24107"/>
    <w:rsid w:val="00F25A80"/>
    <w:rsid w:val="00F35123"/>
    <w:rsid w:val="00F63B0E"/>
    <w:rsid w:val="00F714BF"/>
    <w:rsid w:val="00F71F05"/>
    <w:rsid w:val="00F72C43"/>
    <w:rsid w:val="00F851D8"/>
    <w:rsid w:val="00F86ABE"/>
    <w:rsid w:val="00F87252"/>
    <w:rsid w:val="00F95DA2"/>
    <w:rsid w:val="00FA3023"/>
    <w:rsid w:val="00FA54DC"/>
    <w:rsid w:val="00FA67DF"/>
    <w:rsid w:val="00FB074A"/>
    <w:rsid w:val="00FB1F1F"/>
    <w:rsid w:val="00FB2E73"/>
    <w:rsid w:val="00FB647C"/>
    <w:rsid w:val="00FC0BC7"/>
    <w:rsid w:val="00FD48FB"/>
    <w:rsid w:val="00FE0A5A"/>
    <w:rsid w:val="00FE2B76"/>
    <w:rsid w:val="00FE5D0A"/>
    <w:rsid w:val="00FF141D"/>
    <w:rsid w:val="00FF2088"/>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AD718D"/>
    <w:rPr>
      <w:color w:val="0563C1" w:themeColor="hyperlink"/>
      <w:u w:val="single"/>
    </w:rPr>
  </w:style>
  <w:style w:type="character" w:styleId="UnresolvedMention">
    <w:name w:val="Unresolved Mention"/>
    <w:basedOn w:val="DefaultParagraphFont"/>
    <w:uiPriority w:val="99"/>
    <w:semiHidden/>
    <w:unhideWhenUsed/>
    <w:rsid w:val="00AD718D"/>
    <w:rPr>
      <w:color w:val="605E5C"/>
      <w:shd w:val="clear" w:color="auto" w:fill="E1DFDD"/>
    </w:rPr>
  </w:style>
  <w:style w:type="table" w:styleId="TableGrid">
    <w:name w:val="Table Grid"/>
    <w:basedOn w:val="TableNormal"/>
    <w:uiPriority w:val="39"/>
    <w:rsid w:val="00F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11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39931">
      <w:bodyDiv w:val="1"/>
      <w:marLeft w:val="0"/>
      <w:marRight w:val="0"/>
      <w:marTop w:val="0"/>
      <w:marBottom w:val="0"/>
      <w:divBdr>
        <w:top w:val="none" w:sz="0" w:space="0" w:color="auto"/>
        <w:left w:val="none" w:sz="0" w:space="0" w:color="auto"/>
        <w:bottom w:val="none" w:sz="0" w:space="0" w:color="auto"/>
        <w:right w:val="none" w:sz="0" w:space="0" w:color="auto"/>
      </w:divBdr>
    </w:div>
    <w:div w:id="1263027444">
      <w:bodyDiv w:val="1"/>
      <w:marLeft w:val="0"/>
      <w:marRight w:val="0"/>
      <w:marTop w:val="0"/>
      <w:marBottom w:val="0"/>
      <w:divBdr>
        <w:top w:val="none" w:sz="0" w:space="0" w:color="auto"/>
        <w:left w:val="none" w:sz="0" w:space="0" w:color="auto"/>
        <w:bottom w:val="none" w:sz="0" w:space="0" w:color="auto"/>
        <w:right w:val="none" w:sz="0" w:space="0" w:color="auto"/>
      </w:divBdr>
      <w:divsChild>
        <w:div w:id="186987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43810">
              <w:marLeft w:val="0"/>
              <w:marRight w:val="0"/>
              <w:marTop w:val="0"/>
              <w:marBottom w:val="0"/>
              <w:divBdr>
                <w:top w:val="none" w:sz="0" w:space="0" w:color="auto"/>
                <w:left w:val="none" w:sz="0" w:space="0" w:color="auto"/>
                <w:bottom w:val="none" w:sz="0" w:space="0" w:color="auto"/>
                <w:right w:val="none" w:sz="0" w:space="0" w:color="auto"/>
              </w:divBdr>
              <w:divsChild>
                <w:div w:id="3326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1446">
      <w:bodyDiv w:val="1"/>
      <w:marLeft w:val="0"/>
      <w:marRight w:val="0"/>
      <w:marTop w:val="0"/>
      <w:marBottom w:val="0"/>
      <w:divBdr>
        <w:top w:val="none" w:sz="0" w:space="0" w:color="auto"/>
        <w:left w:val="none" w:sz="0" w:space="0" w:color="auto"/>
        <w:bottom w:val="none" w:sz="0" w:space="0" w:color="auto"/>
        <w:right w:val="none" w:sz="0" w:space="0" w:color="auto"/>
      </w:divBdr>
    </w:div>
    <w:div w:id="1687976394">
      <w:bodyDiv w:val="1"/>
      <w:marLeft w:val="0"/>
      <w:marRight w:val="0"/>
      <w:marTop w:val="0"/>
      <w:marBottom w:val="0"/>
      <w:divBdr>
        <w:top w:val="none" w:sz="0" w:space="0" w:color="auto"/>
        <w:left w:val="none" w:sz="0" w:space="0" w:color="auto"/>
        <w:bottom w:val="none" w:sz="0" w:space="0" w:color="auto"/>
        <w:right w:val="none" w:sz="0" w:space="0" w:color="auto"/>
      </w:divBdr>
    </w:div>
    <w:div w:id="17161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odlandtrust.org.uk/plant-trees/schools-and-communities/queens-green-canop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320D-A5DE-4604-88E6-4F6B7B77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Claire Tilley</cp:lastModifiedBy>
  <cp:revision>24</cp:revision>
  <cp:lastPrinted>2021-10-15T09:32:00Z</cp:lastPrinted>
  <dcterms:created xsi:type="dcterms:W3CDTF">2021-11-01T10:32:00Z</dcterms:created>
  <dcterms:modified xsi:type="dcterms:W3CDTF">2021-11-10T11:32:00Z</dcterms:modified>
</cp:coreProperties>
</file>